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6AC2" w14:textId="77777777" w:rsidR="002269FC" w:rsidRPr="006F3323" w:rsidRDefault="002269FC" w:rsidP="002269FC">
      <w:pPr>
        <w:jc w:val="center"/>
        <w:rPr>
          <w:b/>
        </w:rPr>
      </w:pPr>
      <w:r w:rsidRPr="006F3323">
        <w:rPr>
          <w:b/>
        </w:rPr>
        <w:t>ІНСТРУКЦІЯ</w:t>
      </w:r>
    </w:p>
    <w:p w14:paraId="226B5DC2" w14:textId="77777777" w:rsidR="002269FC" w:rsidRPr="006F3323" w:rsidRDefault="002269FC" w:rsidP="002269FC">
      <w:pPr>
        <w:jc w:val="center"/>
        <w:rPr>
          <w:b/>
        </w:rPr>
      </w:pPr>
      <w:r w:rsidRPr="006F3323">
        <w:rPr>
          <w:b/>
        </w:rPr>
        <w:t xml:space="preserve">для медичного застосування </w:t>
      </w:r>
      <w:r w:rsidR="0003230A" w:rsidRPr="006F3323">
        <w:rPr>
          <w:b/>
        </w:rPr>
        <w:t>лікарського засобу</w:t>
      </w:r>
    </w:p>
    <w:p w14:paraId="0BF8A7AF" w14:textId="77777777" w:rsidR="002269FC" w:rsidRPr="006F3323" w:rsidRDefault="002269FC" w:rsidP="002269FC">
      <w:pPr>
        <w:jc w:val="center"/>
        <w:rPr>
          <w:b/>
          <w:sz w:val="16"/>
          <w:szCs w:val="16"/>
        </w:rPr>
      </w:pPr>
    </w:p>
    <w:p w14:paraId="5D458DA2" w14:textId="77777777" w:rsidR="002269FC" w:rsidRPr="006F3323" w:rsidRDefault="002269FC" w:rsidP="002269FC">
      <w:pPr>
        <w:jc w:val="center"/>
        <w:rPr>
          <w:b/>
        </w:rPr>
      </w:pPr>
      <w:r w:rsidRPr="006F3323">
        <w:rPr>
          <w:b/>
        </w:rPr>
        <w:t>ФЛАМІДЕЗ ГЕЛЬ</w:t>
      </w:r>
    </w:p>
    <w:p w14:paraId="50576E5F" w14:textId="77777777" w:rsidR="002269FC" w:rsidRPr="006F3323" w:rsidRDefault="002269FC" w:rsidP="002269FC">
      <w:pPr>
        <w:jc w:val="center"/>
        <w:rPr>
          <w:b/>
        </w:rPr>
      </w:pPr>
      <w:r w:rsidRPr="006F3323">
        <w:rPr>
          <w:b/>
        </w:rPr>
        <w:t>(FLAMIDASE GEL)</w:t>
      </w:r>
    </w:p>
    <w:p w14:paraId="45320947" w14:textId="77777777" w:rsidR="00D750D1" w:rsidRPr="006F3323" w:rsidRDefault="00D750D1" w:rsidP="003C2E46">
      <w:pPr>
        <w:jc w:val="both"/>
        <w:rPr>
          <w:b/>
          <w:bCs/>
          <w:iCs/>
        </w:rPr>
      </w:pPr>
    </w:p>
    <w:p w14:paraId="2B9ACFAC" w14:textId="77777777" w:rsidR="00011F35" w:rsidRPr="006F3323" w:rsidRDefault="00011F35" w:rsidP="00D679CE">
      <w:pPr>
        <w:jc w:val="both"/>
        <w:rPr>
          <w:b/>
          <w:i/>
        </w:rPr>
      </w:pPr>
      <w:r w:rsidRPr="006F3323">
        <w:rPr>
          <w:b/>
          <w:i/>
        </w:rPr>
        <w:t>Склад:</w:t>
      </w:r>
    </w:p>
    <w:p w14:paraId="6D1DBC05" w14:textId="77777777" w:rsidR="00011F35" w:rsidRPr="006F3323" w:rsidRDefault="00011F35" w:rsidP="00D679CE">
      <w:pPr>
        <w:jc w:val="both"/>
      </w:pPr>
      <w:r w:rsidRPr="006F3323">
        <w:rPr>
          <w:i/>
        </w:rPr>
        <w:t>діючі речовини:</w:t>
      </w:r>
      <w:r w:rsidRPr="006F3323">
        <w:t xml:space="preserve"> </w:t>
      </w:r>
      <w:proofErr w:type="spellStart"/>
      <w:r w:rsidRPr="006F3323">
        <w:t>диклофенаку</w:t>
      </w:r>
      <w:proofErr w:type="spellEnd"/>
      <w:r w:rsidRPr="006F3323">
        <w:t xml:space="preserve"> діетиламін (</w:t>
      </w:r>
      <w:proofErr w:type="spellStart"/>
      <w:r w:rsidRPr="006F3323">
        <w:rPr>
          <w:i/>
        </w:rPr>
        <w:t>diclofenaci</w:t>
      </w:r>
      <w:proofErr w:type="spellEnd"/>
      <w:r w:rsidRPr="006F3323">
        <w:rPr>
          <w:i/>
        </w:rPr>
        <w:t xml:space="preserve"> </w:t>
      </w:r>
      <w:proofErr w:type="spellStart"/>
      <w:r w:rsidRPr="006F3323">
        <w:rPr>
          <w:i/>
        </w:rPr>
        <w:t>diethylaminum</w:t>
      </w:r>
      <w:proofErr w:type="spellEnd"/>
      <w:r w:rsidRPr="006F3323">
        <w:t xml:space="preserve">), </w:t>
      </w:r>
      <w:proofErr w:type="spellStart"/>
      <w:r w:rsidRPr="006F3323">
        <w:t>метилсаліцилат</w:t>
      </w:r>
      <w:proofErr w:type="spellEnd"/>
      <w:r w:rsidRPr="006F3323">
        <w:t xml:space="preserve"> (</w:t>
      </w:r>
      <w:proofErr w:type="spellStart"/>
      <w:r w:rsidRPr="006F3323">
        <w:rPr>
          <w:i/>
        </w:rPr>
        <w:t>methylii</w:t>
      </w:r>
      <w:proofErr w:type="spellEnd"/>
      <w:r w:rsidRPr="006F3323">
        <w:t xml:space="preserve"> </w:t>
      </w:r>
      <w:proofErr w:type="spellStart"/>
      <w:r w:rsidRPr="006F3323">
        <w:rPr>
          <w:i/>
        </w:rPr>
        <w:t>salicylas</w:t>
      </w:r>
      <w:proofErr w:type="spellEnd"/>
      <w:r w:rsidRPr="006F3323">
        <w:t>),</w:t>
      </w:r>
      <w:r w:rsidR="007B1A1E" w:rsidRPr="006F3323">
        <w:t xml:space="preserve"> </w:t>
      </w:r>
      <w:proofErr w:type="spellStart"/>
      <w:r w:rsidR="007B1A1E" w:rsidRPr="006F3323">
        <w:t>левоментол</w:t>
      </w:r>
      <w:proofErr w:type="spellEnd"/>
      <w:r w:rsidR="007B1A1E" w:rsidRPr="006F3323">
        <w:t xml:space="preserve"> (</w:t>
      </w:r>
      <w:proofErr w:type="spellStart"/>
      <w:r w:rsidR="007B1A1E" w:rsidRPr="006F3323">
        <w:rPr>
          <w:i/>
        </w:rPr>
        <w:t>levomentholum</w:t>
      </w:r>
      <w:proofErr w:type="spellEnd"/>
      <w:r w:rsidR="007B1A1E" w:rsidRPr="006F3323">
        <w:t>);</w:t>
      </w:r>
    </w:p>
    <w:p w14:paraId="28C2F10C" w14:textId="77777777" w:rsidR="00011F35" w:rsidRPr="006F3323" w:rsidRDefault="00011F35" w:rsidP="00D679CE">
      <w:pPr>
        <w:jc w:val="both"/>
      </w:pPr>
      <w:smartTag w:uri="urn:schemas-microsoft-com:office:smarttags" w:element="metricconverter">
        <w:smartTagPr>
          <w:attr w:name="ProductID" w:val="1 г"/>
        </w:smartTagPr>
        <w:r w:rsidRPr="006F3323">
          <w:t>1 г</w:t>
        </w:r>
      </w:smartTag>
      <w:r w:rsidRPr="006F3323">
        <w:t xml:space="preserve"> гелю містить </w:t>
      </w:r>
      <w:proofErr w:type="spellStart"/>
      <w:r w:rsidRPr="006F3323">
        <w:t>диклофенаку</w:t>
      </w:r>
      <w:proofErr w:type="spellEnd"/>
      <w:r w:rsidRPr="006F3323">
        <w:t xml:space="preserve"> діетиламіну 11,6 мг (еквівалентно </w:t>
      </w:r>
      <w:proofErr w:type="spellStart"/>
      <w:r w:rsidRPr="006F3323">
        <w:t>диклофенаку</w:t>
      </w:r>
      <w:proofErr w:type="spellEnd"/>
      <w:r w:rsidRPr="006F3323">
        <w:t xml:space="preserve"> натрію 10</w:t>
      </w:r>
      <w:r w:rsidR="00DA49F2" w:rsidRPr="006F3323">
        <w:t> </w:t>
      </w:r>
      <w:r w:rsidRPr="006F3323">
        <w:t xml:space="preserve">мг), </w:t>
      </w:r>
      <w:proofErr w:type="spellStart"/>
      <w:r w:rsidRPr="006F3323">
        <w:t>метилсаліцилату</w:t>
      </w:r>
      <w:proofErr w:type="spellEnd"/>
      <w:r w:rsidRPr="006F3323">
        <w:t xml:space="preserve"> 100 мг, </w:t>
      </w:r>
      <w:proofErr w:type="spellStart"/>
      <w:r w:rsidR="00882500" w:rsidRPr="006F3323">
        <w:t>левоментолу</w:t>
      </w:r>
      <w:proofErr w:type="spellEnd"/>
      <w:r w:rsidR="00882500" w:rsidRPr="006F3323">
        <w:t xml:space="preserve"> </w:t>
      </w:r>
      <w:r w:rsidRPr="006F3323">
        <w:t>50 мг;</w:t>
      </w:r>
    </w:p>
    <w:p w14:paraId="59A61C1F" w14:textId="77777777" w:rsidR="00011F35" w:rsidRPr="006F3323" w:rsidRDefault="00011F35" w:rsidP="00D679CE">
      <w:pPr>
        <w:jc w:val="both"/>
      </w:pPr>
      <w:r w:rsidRPr="006F3323">
        <w:rPr>
          <w:i/>
        </w:rPr>
        <w:t>допоміжні речовини:</w:t>
      </w:r>
      <w:r w:rsidRPr="006F3323">
        <w:t xml:space="preserve"> спирт </w:t>
      </w:r>
      <w:proofErr w:type="spellStart"/>
      <w:r w:rsidRPr="006F3323">
        <w:t>бензиловий</w:t>
      </w:r>
      <w:proofErr w:type="spellEnd"/>
      <w:r w:rsidRPr="006F3323">
        <w:t xml:space="preserve">; </w:t>
      </w:r>
      <w:proofErr w:type="spellStart"/>
      <w:r w:rsidRPr="006F3323">
        <w:t>карбопол</w:t>
      </w:r>
      <w:proofErr w:type="spellEnd"/>
      <w:r w:rsidRPr="006F3323">
        <w:t xml:space="preserve"> 934; </w:t>
      </w:r>
      <w:proofErr w:type="spellStart"/>
      <w:r w:rsidRPr="006F3323">
        <w:t>пропіленгліколь</w:t>
      </w:r>
      <w:proofErr w:type="spellEnd"/>
      <w:r w:rsidRPr="006F3323">
        <w:t xml:space="preserve">; кислота лимонна, моногідрат; спирт </w:t>
      </w:r>
      <w:proofErr w:type="spellStart"/>
      <w:r w:rsidRPr="006F3323">
        <w:t>ізопропіловий</w:t>
      </w:r>
      <w:proofErr w:type="spellEnd"/>
      <w:r w:rsidRPr="006F3323">
        <w:t xml:space="preserve">; </w:t>
      </w:r>
      <w:proofErr w:type="spellStart"/>
      <w:r w:rsidRPr="006F3323">
        <w:t>динатрію</w:t>
      </w:r>
      <w:proofErr w:type="spellEnd"/>
      <w:r w:rsidRPr="006F3323">
        <w:t xml:space="preserve"> </w:t>
      </w:r>
      <w:proofErr w:type="spellStart"/>
      <w:r w:rsidRPr="006F3323">
        <w:t>едетат</w:t>
      </w:r>
      <w:proofErr w:type="spellEnd"/>
      <w:r w:rsidRPr="006F3323">
        <w:t xml:space="preserve">; олія рицинова </w:t>
      </w:r>
      <w:proofErr w:type="spellStart"/>
      <w:r w:rsidRPr="006F3323">
        <w:t>поліетоксильована</w:t>
      </w:r>
      <w:proofErr w:type="spellEnd"/>
      <w:r w:rsidRPr="006F3323">
        <w:t xml:space="preserve">, </w:t>
      </w:r>
      <w:proofErr w:type="spellStart"/>
      <w:r w:rsidRPr="006F3323">
        <w:t>гідрогенізована</w:t>
      </w:r>
      <w:proofErr w:type="spellEnd"/>
      <w:r w:rsidR="004D5C5A" w:rsidRPr="006F3323">
        <w:t>;</w:t>
      </w:r>
      <w:r w:rsidR="00DA49F2" w:rsidRPr="006F3323">
        <w:t xml:space="preserve"> діетиламін; вода очищена.</w:t>
      </w:r>
    </w:p>
    <w:p w14:paraId="5491A508" w14:textId="77777777" w:rsidR="00011F35" w:rsidRPr="006F3323" w:rsidRDefault="00011F35" w:rsidP="00D679CE"/>
    <w:p w14:paraId="72750097" w14:textId="77777777" w:rsidR="00011F35" w:rsidRPr="006F3323" w:rsidRDefault="00011F35" w:rsidP="00D679CE">
      <w:pPr>
        <w:jc w:val="both"/>
      </w:pPr>
      <w:r w:rsidRPr="006F3323">
        <w:rPr>
          <w:b/>
        </w:rPr>
        <w:t>Лікарська форма.</w:t>
      </w:r>
      <w:r w:rsidRPr="006F3323">
        <w:t xml:space="preserve"> Гель.</w:t>
      </w:r>
    </w:p>
    <w:p w14:paraId="0DA49526" w14:textId="77777777" w:rsidR="00011F35" w:rsidRPr="006F3323" w:rsidRDefault="00011F35" w:rsidP="00D679CE">
      <w:pPr>
        <w:jc w:val="both"/>
      </w:pPr>
      <w:r w:rsidRPr="006F3323">
        <w:rPr>
          <w:i/>
        </w:rPr>
        <w:t xml:space="preserve">Основні фізико-хімічні властивості: </w:t>
      </w:r>
      <w:r w:rsidR="00DA49F2" w:rsidRPr="006F3323">
        <w:t>біла м’яка</w:t>
      </w:r>
      <w:r w:rsidRPr="006F3323">
        <w:t xml:space="preserve"> маса.</w:t>
      </w:r>
    </w:p>
    <w:p w14:paraId="7DFA82AE" w14:textId="77777777" w:rsidR="00011F35" w:rsidRPr="006F3323" w:rsidRDefault="00011F35" w:rsidP="00D679CE"/>
    <w:p w14:paraId="0E74500A" w14:textId="77777777" w:rsidR="00011F35" w:rsidRPr="006F3323" w:rsidRDefault="00011F35" w:rsidP="00D679CE">
      <w:pPr>
        <w:tabs>
          <w:tab w:val="left" w:pos="426"/>
        </w:tabs>
        <w:jc w:val="both"/>
        <w:rPr>
          <w:b/>
        </w:rPr>
      </w:pPr>
      <w:proofErr w:type="spellStart"/>
      <w:r w:rsidRPr="006F3323">
        <w:rPr>
          <w:b/>
        </w:rPr>
        <w:t>Фармакотерапевтична</w:t>
      </w:r>
      <w:proofErr w:type="spellEnd"/>
      <w:r w:rsidRPr="006F3323">
        <w:rPr>
          <w:b/>
        </w:rPr>
        <w:t xml:space="preserve"> група.</w:t>
      </w:r>
    </w:p>
    <w:p w14:paraId="1F2F48CE" w14:textId="77777777" w:rsidR="00011F35" w:rsidRPr="006F3323" w:rsidRDefault="00011F35" w:rsidP="00D679CE">
      <w:pPr>
        <w:tabs>
          <w:tab w:val="left" w:pos="426"/>
        </w:tabs>
        <w:jc w:val="both"/>
        <w:rPr>
          <w:b/>
        </w:rPr>
      </w:pPr>
      <w:r w:rsidRPr="006F3323">
        <w:rPr>
          <w:spacing w:val="-4"/>
        </w:rPr>
        <w:t>Засоби, що застосовуються місцево при суглобовому та м</w:t>
      </w:r>
      <w:r w:rsidR="00DA49F2" w:rsidRPr="006F3323">
        <w:rPr>
          <w:spacing w:val="-4"/>
        </w:rPr>
        <w:t>’</w:t>
      </w:r>
      <w:r w:rsidRPr="006F3323">
        <w:rPr>
          <w:spacing w:val="-4"/>
        </w:rPr>
        <w:t xml:space="preserve">язовому болю. </w:t>
      </w:r>
      <w:r w:rsidRPr="006F3323">
        <w:rPr>
          <w:bCs/>
          <w:spacing w:val="-4"/>
        </w:rPr>
        <w:t>Код АТХ M02A A65.</w:t>
      </w:r>
    </w:p>
    <w:p w14:paraId="7408D103" w14:textId="77777777" w:rsidR="00011F35" w:rsidRPr="006F3323" w:rsidRDefault="00011F35" w:rsidP="00D679CE"/>
    <w:p w14:paraId="1147598D" w14:textId="77777777" w:rsidR="00011F35" w:rsidRPr="006F3323" w:rsidRDefault="00011F35" w:rsidP="00D679CE">
      <w:pPr>
        <w:widowControl w:val="0"/>
        <w:jc w:val="both"/>
        <w:outlineLvl w:val="1"/>
        <w:rPr>
          <w:b/>
          <w:i/>
        </w:rPr>
      </w:pPr>
      <w:r w:rsidRPr="006F3323">
        <w:rPr>
          <w:b/>
          <w:i/>
        </w:rPr>
        <w:t>Фармакологічні властивості.</w:t>
      </w:r>
    </w:p>
    <w:p w14:paraId="79433AA1" w14:textId="77777777" w:rsidR="00011F35" w:rsidRPr="006F3323" w:rsidRDefault="00011F35" w:rsidP="00D679CE">
      <w:pPr>
        <w:widowControl w:val="0"/>
        <w:jc w:val="both"/>
        <w:outlineLvl w:val="1"/>
        <w:rPr>
          <w:i/>
        </w:rPr>
      </w:pPr>
      <w:proofErr w:type="spellStart"/>
      <w:r w:rsidRPr="006F3323">
        <w:rPr>
          <w:i/>
        </w:rPr>
        <w:t>Фармакодинаміка</w:t>
      </w:r>
      <w:proofErr w:type="spellEnd"/>
      <w:r w:rsidRPr="006F3323">
        <w:rPr>
          <w:i/>
        </w:rPr>
        <w:t>.</w:t>
      </w:r>
    </w:p>
    <w:p w14:paraId="232D2C79" w14:textId="77777777" w:rsidR="00011F35" w:rsidRPr="006F3323" w:rsidRDefault="00011F35" w:rsidP="00D679CE">
      <w:pPr>
        <w:tabs>
          <w:tab w:val="left" w:pos="426"/>
        </w:tabs>
        <w:jc w:val="both"/>
        <w:rPr>
          <w:bCs/>
        </w:rPr>
      </w:pPr>
      <w:proofErr w:type="spellStart"/>
      <w:r w:rsidRPr="006F3323">
        <w:rPr>
          <w:bCs/>
        </w:rPr>
        <w:t>Фламідез</w:t>
      </w:r>
      <w:proofErr w:type="spellEnd"/>
      <w:r w:rsidRPr="006F3323">
        <w:rPr>
          <w:bCs/>
        </w:rPr>
        <w:t xml:space="preserve"> гель чинить місцеву знеболювальну, протизапальну та </w:t>
      </w:r>
      <w:proofErr w:type="spellStart"/>
      <w:r w:rsidRPr="006F3323">
        <w:rPr>
          <w:bCs/>
        </w:rPr>
        <w:t>протинабрякову</w:t>
      </w:r>
      <w:proofErr w:type="spellEnd"/>
      <w:r w:rsidRPr="006F3323">
        <w:rPr>
          <w:bCs/>
        </w:rPr>
        <w:t xml:space="preserve"> ді</w:t>
      </w:r>
      <w:r w:rsidR="00DA49F2" w:rsidRPr="006F3323">
        <w:rPr>
          <w:bCs/>
        </w:rPr>
        <w:t>ю</w:t>
      </w:r>
      <w:r w:rsidRPr="006F3323">
        <w:rPr>
          <w:bCs/>
        </w:rPr>
        <w:t xml:space="preserve">. Фармакологічна дія препарату обумовлена компонентами, що входять до його складу. </w:t>
      </w:r>
    </w:p>
    <w:p w14:paraId="170FECB6" w14:textId="77777777" w:rsidR="00011F35" w:rsidRPr="006F3323" w:rsidRDefault="00011F35" w:rsidP="00D679CE">
      <w:pPr>
        <w:tabs>
          <w:tab w:val="left" w:pos="426"/>
        </w:tabs>
        <w:jc w:val="both"/>
      </w:pPr>
      <w:proofErr w:type="spellStart"/>
      <w:r w:rsidRPr="006F3323">
        <w:rPr>
          <w:bCs/>
          <w:i/>
        </w:rPr>
        <w:t>Диклофенак</w:t>
      </w:r>
      <w:proofErr w:type="spellEnd"/>
      <w:r w:rsidRPr="006F3323">
        <w:rPr>
          <w:bCs/>
          <w:i/>
        </w:rPr>
        <w:t xml:space="preserve">. </w:t>
      </w:r>
      <w:proofErr w:type="spellStart"/>
      <w:r w:rsidRPr="006F3323">
        <w:t>Диклофенак</w:t>
      </w:r>
      <w:proofErr w:type="spellEnd"/>
      <w:r w:rsidRPr="006F3323">
        <w:t xml:space="preserve"> є нестероїдним протизапальним засобом </w:t>
      </w:r>
      <w:r w:rsidR="00DA49F2" w:rsidRPr="006F3323">
        <w:rPr>
          <w:bCs/>
        </w:rPr>
        <w:t xml:space="preserve">(НПЗЗ) </w:t>
      </w:r>
      <w:r w:rsidRPr="006F3323">
        <w:t xml:space="preserve">із вираженою знеболювальною, протизапальною, протиревматичною та жарознижувальною дією. Основним механізмом дії є пригнічення </w:t>
      </w:r>
      <w:proofErr w:type="spellStart"/>
      <w:r w:rsidRPr="006F3323">
        <w:t>циклооксигеназ</w:t>
      </w:r>
      <w:proofErr w:type="spellEnd"/>
      <w:r w:rsidRPr="006F3323">
        <w:t xml:space="preserve"> та поруше</w:t>
      </w:r>
      <w:r w:rsidR="00C04EEC" w:rsidRPr="006F3323">
        <w:t xml:space="preserve">ння біосинтезу </w:t>
      </w:r>
      <w:proofErr w:type="spellStart"/>
      <w:r w:rsidR="00C04EEC" w:rsidRPr="006F3323">
        <w:t>простагландинів</w:t>
      </w:r>
      <w:proofErr w:type="spellEnd"/>
      <w:r w:rsidR="00C04EEC" w:rsidRPr="006F3323">
        <w:t>.</w:t>
      </w:r>
    </w:p>
    <w:p w14:paraId="58F8B1EC" w14:textId="77777777" w:rsidR="00011F35" w:rsidRPr="006F3323" w:rsidRDefault="00011F35" w:rsidP="00D679CE">
      <w:pPr>
        <w:tabs>
          <w:tab w:val="left" w:pos="426"/>
        </w:tabs>
        <w:jc w:val="both"/>
      </w:pPr>
      <w:r w:rsidRPr="006F3323">
        <w:t xml:space="preserve">При запаленні, спричиненому травмами або ревматичними захворюваннями, застосування </w:t>
      </w:r>
      <w:proofErr w:type="spellStart"/>
      <w:r w:rsidRPr="006F3323">
        <w:t>диклофенаку</w:t>
      </w:r>
      <w:proofErr w:type="spellEnd"/>
      <w:r w:rsidRPr="006F3323">
        <w:t xml:space="preserve"> призводить до зменшення болю, набряку тканин та скорочення періоду поновлення функцій ушкоджених суглобів, зв</w:t>
      </w:r>
      <w:r w:rsidR="00DA49F2" w:rsidRPr="006F3323">
        <w:rPr>
          <w:bCs/>
        </w:rPr>
        <w:t>’</w:t>
      </w:r>
      <w:r w:rsidRPr="006F3323">
        <w:t>язок, сухожиль і м</w:t>
      </w:r>
      <w:r w:rsidR="00DA49F2" w:rsidRPr="006F3323">
        <w:rPr>
          <w:bCs/>
        </w:rPr>
        <w:t>’</w:t>
      </w:r>
      <w:r w:rsidRPr="006F3323">
        <w:t>язів.</w:t>
      </w:r>
    </w:p>
    <w:p w14:paraId="57CE803A" w14:textId="77777777" w:rsidR="00011F35" w:rsidRPr="006F3323" w:rsidRDefault="00011F35" w:rsidP="00D679CE">
      <w:pPr>
        <w:tabs>
          <w:tab w:val="left" w:pos="426"/>
        </w:tabs>
        <w:jc w:val="both"/>
      </w:pPr>
      <w:proofErr w:type="spellStart"/>
      <w:r w:rsidRPr="006F3323">
        <w:rPr>
          <w:bCs/>
          <w:i/>
          <w:iCs/>
        </w:rPr>
        <w:t>Метилсаліцилат</w:t>
      </w:r>
      <w:proofErr w:type="spellEnd"/>
      <w:r w:rsidRPr="006F3323">
        <w:rPr>
          <w:bCs/>
          <w:i/>
          <w:iCs/>
        </w:rPr>
        <w:t xml:space="preserve">. </w:t>
      </w:r>
      <w:proofErr w:type="spellStart"/>
      <w:r w:rsidRPr="006F3323">
        <w:t>Метилсаліцилат</w:t>
      </w:r>
      <w:proofErr w:type="spellEnd"/>
      <w:r w:rsidRPr="006F3323">
        <w:t xml:space="preserve"> являє собою похідне саліцилової кислоти та </w:t>
      </w:r>
      <w:r w:rsidR="00DA49F2" w:rsidRPr="006F3323">
        <w:rPr>
          <w:bCs/>
          <w:iCs/>
        </w:rPr>
        <w:t>чинить</w:t>
      </w:r>
      <w:r w:rsidRPr="006F3323">
        <w:t xml:space="preserve"> місцеву подразнювальну дію. Спричиняючи подразнення рецепторів шкіри, </w:t>
      </w:r>
      <w:proofErr w:type="spellStart"/>
      <w:r w:rsidRPr="006F3323">
        <w:t>метилсаліцилат</w:t>
      </w:r>
      <w:proofErr w:type="spellEnd"/>
      <w:r w:rsidRPr="006F3323">
        <w:t xml:space="preserve"> призводить до створення та викидання в кров великої кількості біологічно активних речовин, які регулюють больову чутливість. Відбувається вивільнення субстанції Р з нейронів. Зменшення акумуляції субстанції Р у нервових закінченнях призводить до зменшення больового відчуття. Крім того, </w:t>
      </w:r>
      <w:proofErr w:type="spellStart"/>
      <w:r w:rsidRPr="006F3323">
        <w:t>метилсаліцилат</w:t>
      </w:r>
      <w:proofErr w:type="spellEnd"/>
      <w:r w:rsidRPr="006F3323">
        <w:t xml:space="preserve">, який належить до групи </w:t>
      </w:r>
      <w:r w:rsidRPr="006F3323">
        <w:rPr>
          <w:bCs/>
          <w:iCs/>
        </w:rPr>
        <w:t>НПЗЗ,</w:t>
      </w:r>
      <w:r w:rsidRPr="006F3323">
        <w:t xml:space="preserve"> гальмує синтез </w:t>
      </w:r>
      <w:proofErr w:type="spellStart"/>
      <w:r w:rsidRPr="006F3323">
        <w:t>простагландинів</w:t>
      </w:r>
      <w:proofErr w:type="spellEnd"/>
      <w:r w:rsidRPr="006F3323">
        <w:t xml:space="preserve"> унаслідок пригнічення </w:t>
      </w:r>
      <w:proofErr w:type="spellStart"/>
      <w:r w:rsidRPr="006F3323">
        <w:t>циклооксигеназ</w:t>
      </w:r>
      <w:proofErr w:type="spellEnd"/>
      <w:r w:rsidRPr="006F3323">
        <w:t>, що зменшує набряк та інфільтрацію запалених тканин.</w:t>
      </w:r>
    </w:p>
    <w:p w14:paraId="281A1494" w14:textId="77777777" w:rsidR="009519FF" w:rsidRPr="006F3323" w:rsidRDefault="00A21237" w:rsidP="009519FF">
      <w:pPr>
        <w:jc w:val="both"/>
      </w:pPr>
      <w:proofErr w:type="spellStart"/>
      <w:r w:rsidRPr="006F3323">
        <w:rPr>
          <w:bCs/>
          <w:i/>
          <w:iCs/>
        </w:rPr>
        <w:t>Левоментол</w:t>
      </w:r>
      <w:proofErr w:type="spellEnd"/>
      <w:r w:rsidR="00011F35" w:rsidRPr="006F3323">
        <w:rPr>
          <w:bCs/>
          <w:i/>
          <w:iCs/>
        </w:rPr>
        <w:t xml:space="preserve">. </w:t>
      </w:r>
      <w:proofErr w:type="spellStart"/>
      <w:r w:rsidRPr="006F3323">
        <w:t>Левоментол</w:t>
      </w:r>
      <w:proofErr w:type="spellEnd"/>
      <w:r w:rsidR="00011F35" w:rsidRPr="006F3323">
        <w:t xml:space="preserve"> спричиняє подразнення холодових рецепторів</w:t>
      </w:r>
      <w:r w:rsidR="009519FF" w:rsidRPr="006F3323">
        <w:t>, чинить судинорозширювальну та помірну знеболювальну ді</w:t>
      </w:r>
      <w:r w:rsidR="00DA49F2" w:rsidRPr="006F3323">
        <w:t>ю</w:t>
      </w:r>
      <w:r w:rsidR="009519FF" w:rsidRPr="006F3323">
        <w:t>, надаючи відчуття прохолоди. Сприяє кращому проникненню діючих речовин через шкіру.</w:t>
      </w:r>
    </w:p>
    <w:p w14:paraId="0B942DA3" w14:textId="77777777" w:rsidR="00011F35" w:rsidRPr="006F3323" w:rsidRDefault="00011F35" w:rsidP="003C2E46">
      <w:pPr>
        <w:keepNext/>
        <w:jc w:val="both"/>
        <w:rPr>
          <w:i/>
        </w:rPr>
      </w:pPr>
      <w:r w:rsidRPr="006F3323">
        <w:rPr>
          <w:i/>
        </w:rPr>
        <w:t>Фармакокінетика.</w:t>
      </w:r>
    </w:p>
    <w:p w14:paraId="4EA77EB6" w14:textId="77777777" w:rsidR="00011F35" w:rsidRPr="006F3323" w:rsidRDefault="00011F35" w:rsidP="00D679CE">
      <w:pPr>
        <w:tabs>
          <w:tab w:val="left" w:pos="426"/>
        </w:tabs>
        <w:jc w:val="both"/>
        <w:rPr>
          <w:bCs/>
        </w:rPr>
      </w:pPr>
      <w:proofErr w:type="spellStart"/>
      <w:r w:rsidRPr="006F3323">
        <w:t>Диклофенак</w:t>
      </w:r>
      <w:proofErr w:type="spellEnd"/>
      <w:r w:rsidRPr="006F3323">
        <w:t xml:space="preserve"> був виявлений у плазмі крові при місцевому застосуванні на гомілку </w:t>
      </w:r>
      <w:smartTag w:uri="urn:schemas-microsoft-com:office:smarttags" w:element="metricconverter">
        <w:smartTagPr>
          <w:attr w:name="ProductID" w:val="2 г"/>
        </w:smartTagPr>
        <w:r w:rsidRPr="006F3323">
          <w:t>2 г</w:t>
        </w:r>
      </w:smartTag>
      <w:r w:rsidRPr="006F3323">
        <w:t xml:space="preserve"> препарату тричі на </w:t>
      </w:r>
      <w:r w:rsidR="00DA49F2" w:rsidRPr="006F3323">
        <w:t>добу</w:t>
      </w:r>
      <w:r w:rsidRPr="006F3323">
        <w:t xml:space="preserve"> протягом 6 днів. Середні </w:t>
      </w:r>
      <w:proofErr w:type="spellStart"/>
      <w:r w:rsidRPr="006F3323">
        <w:t>фармакокінетичні</w:t>
      </w:r>
      <w:proofErr w:type="spellEnd"/>
      <w:r w:rsidRPr="006F3323">
        <w:t xml:space="preserve"> показники становили: AUC</w:t>
      </w:r>
      <w:r w:rsidRPr="006F3323">
        <w:rPr>
          <w:vertAlign w:val="subscript"/>
        </w:rPr>
        <w:t>0-t</w:t>
      </w:r>
      <w:r w:rsidRPr="006F3323">
        <w:t xml:space="preserve"> – 9 </w:t>
      </w:r>
      <w:proofErr w:type="spellStart"/>
      <w:r w:rsidRPr="006F3323">
        <w:t>нг∙год</w:t>
      </w:r>
      <w:proofErr w:type="spellEnd"/>
      <w:r w:rsidRPr="006F3323">
        <w:t xml:space="preserve">/мл, </w:t>
      </w:r>
      <w:proofErr w:type="spellStart"/>
      <w:r w:rsidRPr="006F3323">
        <w:t>C</w:t>
      </w:r>
      <w:r w:rsidRPr="006F3323">
        <w:rPr>
          <w:vertAlign w:val="subscript"/>
        </w:rPr>
        <w:t>max</w:t>
      </w:r>
      <w:proofErr w:type="spellEnd"/>
      <w:r w:rsidRPr="006F3323">
        <w:t xml:space="preserve"> – 4 </w:t>
      </w:r>
      <w:proofErr w:type="spellStart"/>
      <w:r w:rsidRPr="006F3323">
        <w:t>нг</w:t>
      </w:r>
      <w:proofErr w:type="spellEnd"/>
      <w:r w:rsidRPr="006F3323">
        <w:t xml:space="preserve">/мл і </w:t>
      </w:r>
      <w:proofErr w:type="spellStart"/>
      <w:r w:rsidRPr="006F3323">
        <w:t>Т</w:t>
      </w:r>
      <w:r w:rsidRPr="006F3323">
        <w:rPr>
          <w:vertAlign w:val="subscript"/>
        </w:rPr>
        <w:t>max</w:t>
      </w:r>
      <w:proofErr w:type="spellEnd"/>
      <w:r w:rsidRPr="006F3323">
        <w:t xml:space="preserve"> – 4,5 год</w:t>
      </w:r>
      <w:r w:rsidR="00DA49F2" w:rsidRPr="006F3323">
        <w:t>ини</w:t>
      </w:r>
      <w:r w:rsidRPr="006F3323">
        <w:t xml:space="preserve">. Тоді як при пероральному прийомі 75 мг </w:t>
      </w:r>
      <w:proofErr w:type="spellStart"/>
      <w:r w:rsidRPr="006F3323">
        <w:t>диклофенаку</w:t>
      </w:r>
      <w:proofErr w:type="spellEnd"/>
      <w:r w:rsidRPr="006F3323">
        <w:t xml:space="preserve"> площа під </w:t>
      </w:r>
      <w:proofErr w:type="spellStart"/>
      <w:r w:rsidRPr="006F3323">
        <w:t>фармакокінетичною</w:t>
      </w:r>
      <w:proofErr w:type="spellEnd"/>
      <w:r w:rsidRPr="006F3323">
        <w:t xml:space="preserve"> кривою AUC становить 1600 </w:t>
      </w:r>
      <w:proofErr w:type="spellStart"/>
      <w:r w:rsidRPr="006F3323">
        <w:t>нг∙год</w:t>
      </w:r>
      <w:proofErr w:type="spellEnd"/>
      <w:r w:rsidRPr="006F3323">
        <w:t xml:space="preserve">/мл. </w:t>
      </w:r>
      <w:r w:rsidR="00DA49F2" w:rsidRPr="006F3323">
        <w:t>Отже</w:t>
      </w:r>
      <w:r w:rsidRPr="006F3323">
        <w:t xml:space="preserve"> системна </w:t>
      </w:r>
      <w:proofErr w:type="spellStart"/>
      <w:r w:rsidRPr="006F3323">
        <w:t>біодоступність</w:t>
      </w:r>
      <w:proofErr w:type="spellEnd"/>
      <w:r w:rsidRPr="006F3323">
        <w:t xml:space="preserve"> </w:t>
      </w:r>
      <w:proofErr w:type="spellStart"/>
      <w:r w:rsidRPr="006F3323">
        <w:t>диклофенаку</w:t>
      </w:r>
      <w:proofErr w:type="spellEnd"/>
      <w:r w:rsidRPr="006F3323">
        <w:t xml:space="preserve"> при місцевому застосуванні значно нижча, ніж при пероральному, що зменшує ризик розвитку побічних ефектів. </w:t>
      </w:r>
    </w:p>
    <w:p w14:paraId="0AB4E450" w14:textId="77777777" w:rsidR="00011F35" w:rsidRPr="006F3323" w:rsidRDefault="00011F35" w:rsidP="00D679CE">
      <w:pPr>
        <w:jc w:val="both"/>
      </w:pPr>
      <w:r w:rsidRPr="006F3323">
        <w:t xml:space="preserve">Приблизно 99 % </w:t>
      </w:r>
      <w:proofErr w:type="spellStart"/>
      <w:r w:rsidRPr="006F3323">
        <w:t>диклофенаку</w:t>
      </w:r>
      <w:proofErr w:type="spellEnd"/>
      <w:r w:rsidRPr="006F3323">
        <w:t xml:space="preserve"> зв</w:t>
      </w:r>
      <w:r w:rsidR="00DA49F2" w:rsidRPr="006F3323">
        <w:t>’</w:t>
      </w:r>
      <w:r w:rsidRPr="006F3323">
        <w:t>язується з білками плазми крові.</w:t>
      </w:r>
    </w:p>
    <w:p w14:paraId="58A77C85" w14:textId="77777777" w:rsidR="00011F35" w:rsidRPr="006F3323" w:rsidRDefault="00011F35" w:rsidP="00D679CE">
      <w:pPr>
        <w:jc w:val="both"/>
      </w:pPr>
      <w:proofErr w:type="spellStart"/>
      <w:r w:rsidRPr="006F3323">
        <w:t>Метилсаліцилат</w:t>
      </w:r>
      <w:proofErr w:type="spellEnd"/>
      <w:r w:rsidRPr="006F3323">
        <w:t xml:space="preserve"> швидко абсорбується через шкіру, виводиться переважно із сечею.</w:t>
      </w:r>
    </w:p>
    <w:p w14:paraId="2C60E1A5" w14:textId="77777777" w:rsidR="00011F35" w:rsidRPr="006F3323" w:rsidRDefault="00A21237" w:rsidP="00D679CE">
      <w:pPr>
        <w:jc w:val="both"/>
      </w:pPr>
      <w:proofErr w:type="spellStart"/>
      <w:r w:rsidRPr="006F3323">
        <w:t>Левоментол</w:t>
      </w:r>
      <w:proofErr w:type="spellEnd"/>
      <w:r w:rsidR="00011F35" w:rsidRPr="006F3323">
        <w:t xml:space="preserve"> виводиться із сечею та </w:t>
      </w:r>
      <w:proofErr w:type="spellStart"/>
      <w:r w:rsidR="00011F35" w:rsidRPr="006F3323">
        <w:t>жовчю</w:t>
      </w:r>
      <w:proofErr w:type="spellEnd"/>
      <w:r w:rsidR="00011F35" w:rsidRPr="006F3323">
        <w:t xml:space="preserve"> у вигляді </w:t>
      </w:r>
      <w:proofErr w:type="spellStart"/>
      <w:r w:rsidR="00011F35" w:rsidRPr="006F3323">
        <w:t>глюкуроніду</w:t>
      </w:r>
      <w:proofErr w:type="spellEnd"/>
      <w:r w:rsidR="00011F35" w:rsidRPr="006F3323">
        <w:t xml:space="preserve">. </w:t>
      </w:r>
    </w:p>
    <w:p w14:paraId="1BBD3CED" w14:textId="77777777" w:rsidR="00011F35" w:rsidRPr="006F3323" w:rsidRDefault="00011F35" w:rsidP="00D679CE">
      <w:pPr>
        <w:widowControl w:val="0"/>
      </w:pPr>
    </w:p>
    <w:p w14:paraId="45D71C99" w14:textId="77777777" w:rsidR="00011F35" w:rsidRPr="006F3323" w:rsidRDefault="00011F35" w:rsidP="00D679CE">
      <w:pPr>
        <w:keepNext/>
        <w:keepLines/>
        <w:jc w:val="both"/>
        <w:outlineLvl w:val="1"/>
        <w:rPr>
          <w:b/>
        </w:rPr>
      </w:pPr>
      <w:r w:rsidRPr="006F3323">
        <w:rPr>
          <w:b/>
        </w:rPr>
        <w:t>Клінічні характеристики.</w:t>
      </w:r>
    </w:p>
    <w:p w14:paraId="687104E1" w14:textId="77777777" w:rsidR="00011F35" w:rsidRPr="006F3323" w:rsidRDefault="00011F35" w:rsidP="00D679CE">
      <w:pPr>
        <w:jc w:val="both"/>
      </w:pPr>
      <w:r w:rsidRPr="006F3323">
        <w:rPr>
          <w:b/>
          <w:i/>
          <w:iCs/>
        </w:rPr>
        <w:t>Показання.</w:t>
      </w:r>
      <w:r w:rsidRPr="006F3323">
        <w:t xml:space="preserve"> </w:t>
      </w:r>
    </w:p>
    <w:p w14:paraId="52D509C6" w14:textId="77777777" w:rsidR="00011F35" w:rsidRPr="006F3323" w:rsidRDefault="00011F35" w:rsidP="00D679CE">
      <w:pPr>
        <w:shd w:val="clear" w:color="auto" w:fill="FFFFFF"/>
        <w:ind w:right="10"/>
        <w:jc w:val="both"/>
        <w:rPr>
          <w:rFonts w:eastAsia="Arial Unicode MS"/>
        </w:rPr>
      </w:pPr>
      <w:r w:rsidRPr="006F3323">
        <w:rPr>
          <w:rFonts w:eastAsia="Arial Unicode MS"/>
          <w:spacing w:val="2"/>
        </w:rPr>
        <w:t xml:space="preserve">Місцеве лікування міозиту, </w:t>
      </w:r>
      <w:proofErr w:type="spellStart"/>
      <w:r w:rsidRPr="006F3323">
        <w:rPr>
          <w:rFonts w:eastAsia="Arial Unicode MS"/>
          <w:spacing w:val="2"/>
        </w:rPr>
        <w:t>фіброзиту</w:t>
      </w:r>
      <w:proofErr w:type="spellEnd"/>
      <w:r w:rsidRPr="006F3323">
        <w:rPr>
          <w:rFonts w:eastAsia="Arial Unicode MS"/>
          <w:spacing w:val="2"/>
        </w:rPr>
        <w:t>, ішіасу, розтягнення м</w:t>
      </w:r>
      <w:r w:rsidR="00DA49F2" w:rsidRPr="006F3323">
        <w:rPr>
          <w:rFonts w:eastAsia="Arial Unicode MS"/>
          <w:spacing w:val="2"/>
        </w:rPr>
        <w:t>’</w:t>
      </w:r>
      <w:r w:rsidRPr="006F3323">
        <w:rPr>
          <w:rFonts w:eastAsia="Arial Unicode MS"/>
          <w:spacing w:val="2"/>
        </w:rPr>
        <w:t>язів і сухожиль, травматичних ушкоджень опорно-рухового апарату, болю у м</w:t>
      </w:r>
      <w:r w:rsidR="00DA49F2" w:rsidRPr="006F3323">
        <w:rPr>
          <w:rFonts w:eastAsia="Arial Unicode MS"/>
          <w:spacing w:val="2"/>
        </w:rPr>
        <w:t>’</w:t>
      </w:r>
      <w:r w:rsidRPr="006F3323">
        <w:rPr>
          <w:rFonts w:eastAsia="Arial Unicode MS"/>
          <w:spacing w:val="2"/>
        </w:rPr>
        <w:t xml:space="preserve">язах та суглобах при великих фізичних навантаженнях, запальних і дегенеративних захворюваннях суглобів, ревматичних ураженнях опорно-рухового апарату: бурситі, артриті, </w:t>
      </w:r>
      <w:proofErr w:type="spellStart"/>
      <w:r w:rsidRPr="006F3323">
        <w:rPr>
          <w:rFonts w:eastAsia="Arial Unicode MS"/>
          <w:spacing w:val="2"/>
        </w:rPr>
        <w:t>тендосиновіті</w:t>
      </w:r>
      <w:proofErr w:type="spellEnd"/>
      <w:r w:rsidRPr="006F3323">
        <w:rPr>
          <w:rFonts w:eastAsia="Arial Unicode MS"/>
          <w:spacing w:val="2"/>
        </w:rPr>
        <w:t xml:space="preserve">, </w:t>
      </w:r>
      <w:proofErr w:type="spellStart"/>
      <w:r w:rsidRPr="006F3323">
        <w:rPr>
          <w:rFonts w:eastAsia="Arial Unicode MS"/>
          <w:spacing w:val="2"/>
        </w:rPr>
        <w:t>тендиніті</w:t>
      </w:r>
      <w:proofErr w:type="spellEnd"/>
      <w:r w:rsidRPr="006F3323">
        <w:rPr>
          <w:rFonts w:eastAsia="Arial Unicode MS"/>
          <w:spacing w:val="2"/>
        </w:rPr>
        <w:t>.</w:t>
      </w:r>
    </w:p>
    <w:p w14:paraId="51E4C932" w14:textId="77777777" w:rsidR="00011F35" w:rsidRPr="006F3323" w:rsidRDefault="00011F35" w:rsidP="00D679CE"/>
    <w:p w14:paraId="51075BF4" w14:textId="77777777" w:rsidR="00011F35" w:rsidRPr="006F3323" w:rsidRDefault="00011F35" w:rsidP="00D679CE">
      <w:pPr>
        <w:widowControl w:val="0"/>
        <w:jc w:val="both"/>
      </w:pPr>
      <w:r w:rsidRPr="006F3323">
        <w:rPr>
          <w:b/>
          <w:i/>
          <w:iCs/>
        </w:rPr>
        <w:t>Протипоказання.</w:t>
      </w:r>
      <w:r w:rsidRPr="006F3323">
        <w:t xml:space="preserve"> </w:t>
      </w:r>
    </w:p>
    <w:p w14:paraId="225F82D9" w14:textId="77777777" w:rsidR="00011F35" w:rsidRPr="006F3323" w:rsidRDefault="00011F35" w:rsidP="00011F35">
      <w:pPr>
        <w:pStyle w:val="ad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3323">
        <w:rPr>
          <w:rFonts w:ascii="Times New Roman" w:eastAsia="Arial Unicode MS" w:hAnsi="Times New Roman"/>
          <w:sz w:val="24"/>
          <w:szCs w:val="24"/>
        </w:rPr>
        <w:t xml:space="preserve">Індивідуальна підвищена чутливість до </w:t>
      </w:r>
      <w:proofErr w:type="spellStart"/>
      <w:r w:rsidRPr="006F3323">
        <w:rPr>
          <w:rFonts w:ascii="Times New Roman" w:eastAsia="Arial Unicode MS" w:hAnsi="Times New Roman"/>
          <w:sz w:val="24"/>
          <w:szCs w:val="24"/>
        </w:rPr>
        <w:t>диклофенаку</w:t>
      </w:r>
      <w:proofErr w:type="spellEnd"/>
      <w:r w:rsidRPr="006F3323">
        <w:rPr>
          <w:rFonts w:ascii="Times New Roman" w:eastAsia="Arial Unicode MS" w:hAnsi="Times New Roman"/>
          <w:sz w:val="24"/>
          <w:szCs w:val="24"/>
        </w:rPr>
        <w:t>, ацетилсаліцилової кислоти</w:t>
      </w:r>
      <w:r w:rsidR="00DA49F2" w:rsidRPr="006F3323">
        <w:rPr>
          <w:rFonts w:ascii="Times New Roman" w:eastAsia="Arial Unicode MS" w:hAnsi="Times New Roman"/>
          <w:sz w:val="24"/>
          <w:szCs w:val="24"/>
        </w:rPr>
        <w:t>,</w:t>
      </w:r>
      <w:r w:rsidRPr="006F3323">
        <w:rPr>
          <w:rFonts w:ascii="Times New Roman" w:eastAsia="Arial Unicode MS" w:hAnsi="Times New Roman"/>
          <w:sz w:val="24"/>
          <w:szCs w:val="24"/>
        </w:rPr>
        <w:t xml:space="preserve"> або </w:t>
      </w:r>
      <w:r w:rsidR="00DA49F2" w:rsidRPr="006F3323">
        <w:rPr>
          <w:rFonts w:ascii="Times New Roman" w:eastAsia="Arial Unicode MS" w:hAnsi="Times New Roman"/>
          <w:sz w:val="24"/>
          <w:szCs w:val="24"/>
        </w:rPr>
        <w:t xml:space="preserve">до інших нестероїдних протизапальних засобів, або до </w:t>
      </w:r>
      <w:r w:rsidRPr="006F3323">
        <w:rPr>
          <w:rFonts w:ascii="Times New Roman" w:eastAsia="Arial Unicode MS" w:hAnsi="Times New Roman"/>
          <w:sz w:val="24"/>
          <w:szCs w:val="24"/>
        </w:rPr>
        <w:t xml:space="preserve">будь-якого іншого компоненту препарату. </w:t>
      </w:r>
    </w:p>
    <w:p w14:paraId="452B8531" w14:textId="77777777" w:rsidR="00011F35" w:rsidRPr="006F3323" w:rsidRDefault="00011F35" w:rsidP="00011F35">
      <w:pPr>
        <w:pStyle w:val="ad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3323">
        <w:rPr>
          <w:rFonts w:ascii="Times New Roman" w:eastAsia="Arial Unicode MS" w:hAnsi="Times New Roman"/>
          <w:sz w:val="24"/>
          <w:szCs w:val="24"/>
        </w:rPr>
        <w:t>Наявність в анамнезі нападів бронхіальної астми, кропив</w:t>
      </w:r>
      <w:r w:rsidR="00DA49F2" w:rsidRPr="006F3323">
        <w:rPr>
          <w:rFonts w:ascii="Times New Roman" w:eastAsia="Arial Unicode MS" w:hAnsi="Times New Roman"/>
          <w:sz w:val="24"/>
          <w:szCs w:val="24"/>
        </w:rPr>
        <w:t>’</w:t>
      </w:r>
      <w:r w:rsidRPr="006F3323">
        <w:rPr>
          <w:rFonts w:ascii="Times New Roman" w:eastAsia="Arial Unicode MS" w:hAnsi="Times New Roman"/>
          <w:sz w:val="24"/>
          <w:szCs w:val="24"/>
        </w:rPr>
        <w:t xml:space="preserve">янки або гострого риніту, зумовлених прийомом ацетилсаліцилової кислоти та інших </w:t>
      </w:r>
      <w:r w:rsidR="00021D20" w:rsidRPr="006F3323">
        <w:rPr>
          <w:rFonts w:ascii="Times New Roman" w:eastAsia="Arial Unicode MS" w:hAnsi="Times New Roman"/>
          <w:sz w:val="24"/>
          <w:szCs w:val="24"/>
        </w:rPr>
        <w:t>НПЗЗ</w:t>
      </w:r>
      <w:r w:rsidRPr="006F3323">
        <w:rPr>
          <w:rFonts w:ascii="Times New Roman" w:eastAsia="Arial Unicode MS" w:hAnsi="Times New Roman"/>
          <w:sz w:val="24"/>
          <w:szCs w:val="24"/>
        </w:rPr>
        <w:t>.</w:t>
      </w:r>
    </w:p>
    <w:p w14:paraId="31A171C8" w14:textId="77777777" w:rsidR="00011F35" w:rsidRPr="006F3323" w:rsidRDefault="00011F35" w:rsidP="00011F35">
      <w:pPr>
        <w:pStyle w:val="ad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3323">
        <w:rPr>
          <w:rFonts w:ascii="Times New Roman" w:eastAsia="Arial Unicode MS" w:hAnsi="Times New Roman"/>
          <w:sz w:val="24"/>
          <w:szCs w:val="24"/>
        </w:rPr>
        <w:t>Ушкодження епідермісу, відкриті рани у ділянці застосування.</w:t>
      </w:r>
    </w:p>
    <w:p w14:paraId="1996DC5A" w14:textId="77777777" w:rsidR="00011F35" w:rsidRPr="006F3323" w:rsidRDefault="00011F35" w:rsidP="00011F35">
      <w:pPr>
        <w:pStyle w:val="ad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3323">
        <w:rPr>
          <w:rFonts w:ascii="Times New Roman" w:eastAsia="Arial Unicode MS" w:hAnsi="Times New Roman"/>
          <w:sz w:val="24"/>
          <w:szCs w:val="24"/>
        </w:rPr>
        <w:t>Останній триместр вагітності.</w:t>
      </w:r>
    </w:p>
    <w:p w14:paraId="4B90223D" w14:textId="77777777" w:rsidR="00011F35" w:rsidRPr="006F3323" w:rsidRDefault="00011F35" w:rsidP="00011F35">
      <w:pPr>
        <w:pStyle w:val="ad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F3323">
        <w:rPr>
          <w:rFonts w:ascii="Times New Roman" w:eastAsia="Arial Unicode MS" w:hAnsi="Times New Roman"/>
          <w:sz w:val="24"/>
          <w:szCs w:val="24"/>
        </w:rPr>
        <w:t>Дитячій вік до 14 років.</w:t>
      </w:r>
    </w:p>
    <w:p w14:paraId="737E6B2E" w14:textId="77777777" w:rsidR="00011F35" w:rsidRPr="006F3323" w:rsidRDefault="00011F35" w:rsidP="00D679CE">
      <w:pPr>
        <w:widowControl w:val="0"/>
        <w:jc w:val="both"/>
        <w:outlineLvl w:val="1"/>
        <w:rPr>
          <w:b/>
        </w:rPr>
      </w:pPr>
    </w:p>
    <w:p w14:paraId="53E2A890" w14:textId="77777777" w:rsidR="00011F35" w:rsidRPr="006F3323" w:rsidRDefault="00011F35" w:rsidP="00D679CE">
      <w:pPr>
        <w:jc w:val="both"/>
      </w:pPr>
      <w:r w:rsidRPr="006F3323">
        <w:rPr>
          <w:b/>
          <w:i/>
          <w:iCs/>
        </w:rPr>
        <w:t>Взаємодія з іншими лікарськими засобами та інші види взаємодій</w:t>
      </w:r>
      <w:r w:rsidRPr="006F3323">
        <w:rPr>
          <w:b/>
          <w:i/>
        </w:rPr>
        <w:t>.</w:t>
      </w:r>
    </w:p>
    <w:p w14:paraId="39698909" w14:textId="77777777" w:rsidR="00011F35" w:rsidRPr="006F3323" w:rsidRDefault="00011F35" w:rsidP="00D679CE">
      <w:pPr>
        <w:jc w:val="both"/>
      </w:pPr>
      <w:r w:rsidRPr="006F3323">
        <w:t xml:space="preserve">Внаслідок незначної системної адсорбції препарату при зовнішньому застосуванні взаємодія з іншими лікарськими засобами малоймовірна. Однак потрібно враховувати можливі взаємодії, які є відомими для пероральних форм </w:t>
      </w:r>
      <w:proofErr w:type="spellStart"/>
      <w:r w:rsidRPr="006F3323">
        <w:t>диклофенаку</w:t>
      </w:r>
      <w:proofErr w:type="spellEnd"/>
      <w:r w:rsidRPr="006F3323">
        <w:t xml:space="preserve">. </w:t>
      </w:r>
    </w:p>
    <w:p w14:paraId="20BAE740" w14:textId="77777777" w:rsidR="00011F35" w:rsidRPr="006F3323" w:rsidRDefault="00011F35" w:rsidP="00D679CE">
      <w:pPr>
        <w:jc w:val="both"/>
      </w:pPr>
      <w:r w:rsidRPr="006F3323">
        <w:t xml:space="preserve">Хоча достатньо контрольовані випробування взаємодії не проводилися, не виключено, що надмірне застосування саліцилатів для місцевого застосування може збільшити ефект </w:t>
      </w:r>
      <w:proofErr w:type="spellStart"/>
      <w:r w:rsidRPr="006F3323">
        <w:t>кумаринових</w:t>
      </w:r>
      <w:proofErr w:type="spellEnd"/>
      <w:r w:rsidRPr="006F3323">
        <w:t xml:space="preserve"> антикоагулянтів та </w:t>
      </w:r>
      <w:proofErr w:type="spellStart"/>
      <w:r w:rsidRPr="006F3323">
        <w:t>антитромбоцитарних</w:t>
      </w:r>
      <w:proofErr w:type="spellEnd"/>
      <w:r w:rsidRPr="006F3323">
        <w:t xml:space="preserve"> препаратів. У зв</w:t>
      </w:r>
      <w:r w:rsidR="00DA49F2" w:rsidRPr="006F3323">
        <w:t>’</w:t>
      </w:r>
      <w:r w:rsidRPr="006F3323">
        <w:t xml:space="preserve">язку з цим пацієнтам, які приймають кумаринові антикоагулянти та </w:t>
      </w:r>
      <w:proofErr w:type="spellStart"/>
      <w:r w:rsidRPr="006F3323">
        <w:t>антитромбоцитарні</w:t>
      </w:r>
      <w:proofErr w:type="spellEnd"/>
      <w:r w:rsidRPr="006F3323">
        <w:t xml:space="preserve"> препарати, включаючи аспірин, слід проявляти обережність.</w:t>
      </w:r>
    </w:p>
    <w:p w14:paraId="3D4658F1" w14:textId="77777777" w:rsidR="00011F35" w:rsidRPr="006F3323" w:rsidRDefault="00011F35" w:rsidP="00D679CE">
      <w:pPr>
        <w:shd w:val="clear" w:color="auto" w:fill="FFFFFF"/>
        <w:jc w:val="both"/>
      </w:pPr>
    </w:p>
    <w:p w14:paraId="4ECEF575" w14:textId="77777777" w:rsidR="00011F35" w:rsidRPr="006F3323" w:rsidRDefault="00011F35" w:rsidP="00D679CE">
      <w:pPr>
        <w:jc w:val="both"/>
      </w:pPr>
      <w:r w:rsidRPr="006F3323">
        <w:rPr>
          <w:b/>
          <w:i/>
          <w:iCs/>
        </w:rPr>
        <w:t>Особливості застосування</w:t>
      </w:r>
      <w:r w:rsidRPr="006F3323">
        <w:rPr>
          <w:b/>
          <w:i/>
        </w:rPr>
        <w:t>.</w:t>
      </w:r>
    </w:p>
    <w:p w14:paraId="74AB7686" w14:textId="77777777" w:rsidR="00011F35" w:rsidRPr="006F3323" w:rsidRDefault="00011F35" w:rsidP="00D679CE">
      <w:pPr>
        <w:jc w:val="both"/>
      </w:pPr>
      <w:proofErr w:type="spellStart"/>
      <w:r w:rsidRPr="006F3323">
        <w:rPr>
          <w:bCs/>
        </w:rPr>
        <w:t>Фламідез</w:t>
      </w:r>
      <w:proofErr w:type="spellEnd"/>
      <w:r w:rsidRPr="006F3323">
        <w:rPr>
          <w:bCs/>
        </w:rPr>
        <w:t xml:space="preserve"> </w:t>
      </w:r>
      <w:r w:rsidRPr="006F3323">
        <w:t>гель призначений лише для зовнішнього застосування. Препарат не можна приймати внутрішньо.</w:t>
      </w:r>
    </w:p>
    <w:p w14:paraId="70EED788" w14:textId="77777777" w:rsidR="00011F35" w:rsidRPr="006F3323" w:rsidRDefault="00011F35" w:rsidP="00D679CE">
      <w:pPr>
        <w:jc w:val="both"/>
      </w:pPr>
      <w:r w:rsidRPr="006F3323">
        <w:t xml:space="preserve">Перед застосуванням гелю слід проконсультуватися з лікарем, якщо в анамнезі є такі хвороби: виразкова хвороба шлунка і дванадцятипалої кишки, порушення функції печінки та нирок, виражені порушення системи кровотворення, бронхіальна астма, </w:t>
      </w:r>
      <w:proofErr w:type="spellStart"/>
      <w:r w:rsidRPr="006F3323">
        <w:t>поліпоз</w:t>
      </w:r>
      <w:proofErr w:type="spellEnd"/>
      <w:r w:rsidRPr="006F3323">
        <w:t xml:space="preserve"> слизової оболонки носа, алергічні реакції.</w:t>
      </w:r>
    </w:p>
    <w:p w14:paraId="15CF6921" w14:textId="77777777" w:rsidR="00011F35" w:rsidRPr="006F3323" w:rsidRDefault="00011F35" w:rsidP="00D679CE">
      <w:pPr>
        <w:jc w:val="both"/>
        <w:rPr>
          <w:bCs/>
        </w:rPr>
      </w:pPr>
      <w:r w:rsidRPr="006F3323">
        <w:rPr>
          <w:bCs/>
        </w:rPr>
        <w:t xml:space="preserve">Після нанесення гелю необхідно вимити руки, щоб уникнути контакту препарату з очима та слизовими оболонками. </w:t>
      </w:r>
    </w:p>
    <w:p w14:paraId="5100E00B" w14:textId="77777777" w:rsidR="00011F35" w:rsidRPr="006F3323" w:rsidRDefault="00011F35" w:rsidP="00D679CE">
      <w:pPr>
        <w:jc w:val="both"/>
      </w:pPr>
      <w:r w:rsidRPr="006F3323">
        <w:t xml:space="preserve">Препарат слід з обережністю застосовувати одночасно з пероральними </w:t>
      </w:r>
      <w:r w:rsidR="00021D20" w:rsidRPr="006F3323">
        <w:t>НПЗЗ</w:t>
      </w:r>
      <w:r w:rsidRPr="006F3323">
        <w:t xml:space="preserve">. </w:t>
      </w:r>
    </w:p>
    <w:p w14:paraId="299FE3A8" w14:textId="77777777" w:rsidR="00011F35" w:rsidRPr="006F3323" w:rsidRDefault="00011F35" w:rsidP="00D679CE">
      <w:pPr>
        <w:jc w:val="both"/>
      </w:pPr>
      <w:r w:rsidRPr="006F3323">
        <w:t xml:space="preserve">Ймовірність розвитку системних побічних ефектів при місцевому застосуванні </w:t>
      </w:r>
      <w:proofErr w:type="spellStart"/>
      <w:r w:rsidRPr="006F3323">
        <w:t>диклофенаку</w:t>
      </w:r>
      <w:proofErr w:type="spellEnd"/>
      <w:r w:rsidRPr="006F3323">
        <w:t xml:space="preserve"> порівняно з такою при прийомі препарату внутрішньо мала, але підвищується при нанесенні препарату на відносно великі поверхні шкіри протягом тривалого часу.</w:t>
      </w:r>
    </w:p>
    <w:p w14:paraId="75ED7FD1" w14:textId="77777777" w:rsidR="00011F35" w:rsidRPr="006F3323" w:rsidRDefault="00011F35" w:rsidP="00D679CE">
      <w:pPr>
        <w:jc w:val="both"/>
      </w:pPr>
      <w:r w:rsidRPr="006F3323">
        <w:t xml:space="preserve">У разі появи будь-яких шкірних </w:t>
      </w:r>
      <w:proofErr w:type="spellStart"/>
      <w:r w:rsidRPr="006F3323">
        <w:t>висипань</w:t>
      </w:r>
      <w:proofErr w:type="spellEnd"/>
      <w:r w:rsidRPr="006F3323">
        <w:t xml:space="preserve"> слід припинити застосування препарату.</w:t>
      </w:r>
    </w:p>
    <w:p w14:paraId="334D6252" w14:textId="77777777" w:rsidR="00011F35" w:rsidRPr="006F3323" w:rsidRDefault="00011F35" w:rsidP="00D679CE">
      <w:pPr>
        <w:jc w:val="both"/>
      </w:pPr>
      <w:r w:rsidRPr="006F3323">
        <w:t xml:space="preserve">Препарат рекомендується наносити тільки на інтактні ділянки шкіри, запобігаючи потрапляння на запалену, поранену або інфіковану шкіру, в очі та інші слизові оболонки. </w:t>
      </w:r>
    </w:p>
    <w:p w14:paraId="3AC1C51F" w14:textId="77777777" w:rsidR="00011F35" w:rsidRPr="006F3323" w:rsidRDefault="00011F35" w:rsidP="00D679CE">
      <w:pPr>
        <w:jc w:val="both"/>
      </w:pPr>
      <w:r w:rsidRPr="006F3323">
        <w:t xml:space="preserve">Препарат не слід застосовувати під повітронепроникну </w:t>
      </w:r>
      <w:proofErr w:type="spellStart"/>
      <w:r w:rsidRPr="006F3323">
        <w:t>оклюзійну</w:t>
      </w:r>
      <w:proofErr w:type="spellEnd"/>
      <w:r w:rsidRPr="006F3323">
        <w:t xml:space="preserve"> пов</w:t>
      </w:r>
      <w:r w:rsidR="00DA49F2" w:rsidRPr="006F3323">
        <w:t>’</w:t>
      </w:r>
      <w:r w:rsidRPr="006F3323">
        <w:t xml:space="preserve">язку, проте допускається його застосування під </w:t>
      </w:r>
      <w:proofErr w:type="spellStart"/>
      <w:r w:rsidRPr="006F3323">
        <w:t>неоклюзійну</w:t>
      </w:r>
      <w:proofErr w:type="spellEnd"/>
      <w:r w:rsidRPr="006F3323">
        <w:t xml:space="preserve"> пов</w:t>
      </w:r>
      <w:r w:rsidR="00DA49F2" w:rsidRPr="006F3323">
        <w:t>’</w:t>
      </w:r>
      <w:r w:rsidRPr="006F3323">
        <w:t>язку. У випадку розтягування зв</w:t>
      </w:r>
      <w:r w:rsidR="00DA49F2" w:rsidRPr="006F3323">
        <w:t>’</w:t>
      </w:r>
      <w:r w:rsidRPr="006F3323">
        <w:t>язок уражену ділянку можна перев</w:t>
      </w:r>
      <w:r w:rsidR="00DA49F2" w:rsidRPr="006F3323">
        <w:t>’</w:t>
      </w:r>
      <w:r w:rsidRPr="006F3323">
        <w:t xml:space="preserve">язати бинтом. </w:t>
      </w:r>
    </w:p>
    <w:p w14:paraId="36B40E3A" w14:textId="77777777" w:rsidR="00011F35" w:rsidRPr="006F3323" w:rsidRDefault="00011F35" w:rsidP="00D679CE">
      <w:pPr>
        <w:jc w:val="both"/>
      </w:pPr>
      <w:proofErr w:type="spellStart"/>
      <w:r w:rsidRPr="006F3323">
        <w:rPr>
          <w:bCs/>
        </w:rPr>
        <w:t>Фламідез</w:t>
      </w:r>
      <w:proofErr w:type="spellEnd"/>
      <w:r w:rsidRPr="006F3323">
        <w:t xml:space="preserve"> гель містить </w:t>
      </w:r>
      <w:proofErr w:type="spellStart"/>
      <w:r w:rsidRPr="006F3323">
        <w:t>пропіленгліколь</w:t>
      </w:r>
      <w:proofErr w:type="spellEnd"/>
      <w:r w:rsidRPr="006F3323">
        <w:t xml:space="preserve">, що може спричинити у деяких пацієнтів слабке локальне подразнення шкіри. </w:t>
      </w:r>
    </w:p>
    <w:p w14:paraId="3492AA5A" w14:textId="77777777" w:rsidR="00011F35" w:rsidRPr="006F3323" w:rsidRDefault="00011F35" w:rsidP="00D679CE">
      <w:pPr>
        <w:tabs>
          <w:tab w:val="left" w:pos="2623"/>
        </w:tabs>
        <w:jc w:val="both"/>
        <w:rPr>
          <w:rFonts w:eastAsia="Arial Unicode MS"/>
        </w:rPr>
      </w:pPr>
      <w:r w:rsidRPr="006F3323">
        <w:rPr>
          <w:bCs/>
        </w:rPr>
        <w:t>Якщо симптоми захворювання не минають, необхідно звернутис</w:t>
      </w:r>
      <w:r w:rsidR="00021D20" w:rsidRPr="006F3323">
        <w:rPr>
          <w:bCs/>
        </w:rPr>
        <w:t>я</w:t>
      </w:r>
      <w:r w:rsidRPr="006F3323">
        <w:rPr>
          <w:bCs/>
        </w:rPr>
        <w:t xml:space="preserve"> до лікаря.</w:t>
      </w:r>
    </w:p>
    <w:p w14:paraId="799E0C05" w14:textId="77777777" w:rsidR="00011F35" w:rsidRPr="006F3323" w:rsidRDefault="00011F35" w:rsidP="00D679CE"/>
    <w:p w14:paraId="3F40070A" w14:textId="77777777" w:rsidR="00011F35" w:rsidRPr="006F3323" w:rsidRDefault="00011F35" w:rsidP="00D679CE">
      <w:pPr>
        <w:jc w:val="both"/>
        <w:rPr>
          <w:i/>
        </w:rPr>
      </w:pPr>
      <w:r w:rsidRPr="006F3323">
        <w:rPr>
          <w:i/>
        </w:rPr>
        <w:lastRenderedPageBreak/>
        <w:t>Застосування у період вагітності або годування груддю.</w:t>
      </w:r>
    </w:p>
    <w:p w14:paraId="165AE1C7" w14:textId="77777777" w:rsidR="00011F35" w:rsidRPr="006F3323" w:rsidRDefault="00011F35" w:rsidP="00D679CE">
      <w:pPr>
        <w:jc w:val="both"/>
      </w:pPr>
      <w:r w:rsidRPr="006F3323">
        <w:t xml:space="preserve">Оскільки вплив пригнічення синтезу </w:t>
      </w:r>
      <w:proofErr w:type="spellStart"/>
      <w:r w:rsidRPr="006F3323">
        <w:t>простагландинів</w:t>
      </w:r>
      <w:proofErr w:type="spellEnd"/>
      <w:r w:rsidRPr="006F3323">
        <w:t xml:space="preserve"> на перебіг вагітності при місцевому застосуванні </w:t>
      </w:r>
      <w:proofErr w:type="spellStart"/>
      <w:r w:rsidRPr="006F3323">
        <w:t>диклофенаку</w:t>
      </w:r>
      <w:proofErr w:type="spellEnd"/>
      <w:r w:rsidRPr="006F3323">
        <w:t xml:space="preserve"> не вивчений, застосовувати препарат протягом перших 6 місяців вагітності можна лише у випадку, якщо, на думку лікаря, очікувана користь для матері перевищує ризик для плода. </w:t>
      </w:r>
    </w:p>
    <w:p w14:paraId="37944C49" w14:textId="77777777" w:rsidR="00011F35" w:rsidRPr="006F3323" w:rsidRDefault="00011F35" w:rsidP="00D679CE">
      <w:pPr>
        <w:jc w:val="both"/>
      </w:pPr>
      <w:r w:rsidRPr="006F3323">
        <w:t>У третьому триместрі вагітності застосування препарату протипоказане.</w:t>
      </w:r>
    </w:p>
    <w:p w14:paraId="2A73A279" w14:textId="77777777" w:rsidR="00D32102" w:rsidRPr="006F3323" w:rsidRDefault="00D32102" w:rsidP="00D32102">
      <w:pPr>
        <w:pStyle w:val="xfm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6F3323">
        <w:rPr>
          <w:bCs/>
          <w:i/>
          <w:color w:val="000000"/>
        </w:rPr>
        <w:t>Вплив на матір і новонародженого, а також наприкінці вагітності:</w:t>
      </w:r>
    </w:p>
    <w:p w14:paraId="312CC3F7" w14:textId="7EF0C92B" w:rsidR="00D32102" w:rsidRPr="006F3323" w:rsidRDefault="00D32102" w:rsidP="007C37DD">
      <w:pPr>
        <w:pStyle w:val="xfmc1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F3323">
        <w:rPr>
          <w:b/>
          <w:i/>
          <w:color w:val="000000"/>
        </w:rPr>
        <w:t xml:space="preserve">- </w:t>
      </w:r>
      <w:r w:rsidRPr="006F3323">
        <w:rPr>
          <w:bCs/>
          <w:iCs/>
          <w:color w:val="000000"/>
        </w:rPr>
        <w:t xml:space="preserve">можливі подовження часу кровотечі, </w:t>
      </w:r>
      <w:proofErr w:type="spellStart"/>
      <w:r w:rsidRPr="006F3323">
        <w:rPr>
          <w:bCs/>
          <w:iCs/>
          <w:color w:val="000000"/>
        </w:rPr>
        <w:t>антиагрегантний</w:t>
      </w:r>
      <w:proofErr w:type="spellEnd"/>
      <w:r w:rsidRPr="006F3323">
        <w:rPr>
          <w:bCs/>
          <w:iCs/>
          <w:color w:val="000000"/>
        </w:rPr>
        <w:t xml:space="preserve"> ефект, який може спостерігатися навіть при дуже низьких дозах;</w:t>
      </w:r>
    </w:p>
    <w:p w14:paraId="1D66A390" w14:textId="77777777" w:rsidR="00D32102" w:rsidRPr="006F3323" w:rsidRDefault="00D32102" w:rsidP="007C37DD">
      <w:pPr>
        <w:pStyle w:val="xfmc1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6F3323">
        <w:rPr>
          <w:bCs/>
          <w:iCs/>
          <w:color w:val="000000"/>
        </w:rPr>
        <w:t>- гальмування скорочень матки, що призводить до затримки або подовження пологів.</w:t>
      </w:r>
    </w:p>
    <w:p w14:paraId="059D9412" w14:textId="2656CB6C" w:rsidR="00D32102" w:rsidRPr="006F3323" w:rsidRDefault="00D32102" w:rsidP="007C37DD">
      <w:pPr>
        <w:pStyle w:val="af0"/>
        <w:shd w:val="clear" w:color="auto" w:fill="FFFFFF"/>
        <w:spacing w:before="0" w:beforeAutospacing="0" w:after="0" w:afterAutospacing="0"/>
        <w:jc w:val="both"/>
        <w:rPr>
          <w:color w:val="212529"/>
          <w:spacing w:val="5"/>
        </w:rPr>
      </w:pPr>
      <w:r w:rsidRPr="006F3323">
        <w:rPr>
          <w:color w:val="212529"/>
          <w:spacing w:val="5"/>
        </w:rPr>
        <w:t>Застосування НПЗЗ</w:t>
      </w:r>
      <w:r w:rsidR="0009305B" w:rsidRPr="006F3323">
        <w:rPr>
          <w:color w:val="212529"/>
          <w:spacing w:val="5"/>
        </w:rPr>
        <w:t xml:space="preserve"> під час вагітності</w:t>
      </w:r>
      <w:r w:rsidRPr="006F3323">
        <w:rPr>
          <w:color w:val="212529"/>
          <w:spacing w:val="5"/>
        </w:rPr>
        <w:t xml:space="preserve">, починаючи з 20-го тижня, може спричинити рідкісні, але серйозні порушення нирок у ненародженої дитини. </w:t>
      </w:r>
      <w:r w:rsidR="00FB2F7C" w:rsidRPr="006F3323">
        <w:rPr>
          <w:color w:val="212529"/>
          <w:spacing w:val="5"/>
        </w:rPr>
        <w:t>Як наслідок, можливе</w:t>
      </w:r>
      <w:r w:rsidRPr="006F3323">
        <w:rPr>
          <w:color w:val="212529"/>
          <w:spacing w:val="5"/>
        </w:rPr>
        <w:t xml:space="preserve"> </w:t>
      </w:r>
      <w:r w:rsidR="00FB2F7C" w:rsidRPr="006F3323">
        <w:rPr>
          <w:color w:val="212529"/>
          <w:spacing w:val="5"/>
        </w:rPr>
        <w:t xml:space="preserve">зниження </w:t>
      </w:r>
      <w:r w:rsidRPr="006F3323">
        <w:rPr>
          <w:color w:val="212529"/>
          <w:spacing w:val="5"/>
        </w:rPr>
        <w:t xml:space="preserve">рівня навколоплідних вод та </w:t>
      </w:r>
      <w:r w:rsidR="00FB2F7C" w:rsidRPr="006F3323">
        <w:rPr>
          <w:color w:val="212529"/>
          <w:spacing w:val="5"/>
        </w:rPr>
        <w:t>поява</w:t>
      </w:r>
      <w:r w:rsidRPr="006F3323">
        <w:rPr>
          <w:color w:val="212529"/>
          <w:spacing w:val="5"/>
        </w:rPr>
        <w:t xml:space="preserve"> ускладнень.</w:t>
      </w:r>
    </w:p>
    <w:p w14:paraId="09463854" w14:textId="43DB91B1" w:rsidR="00D32102" w:rsidRPr="006F3323" w:rsidRDefault="00D32102" w:rsidP="007C37DD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323">
        <w:rPr>
          <w:color w:val="212529"/>
          <w:spacing w:val="5"/>
        </w:rPr>
        <w:t xml:space="preserve">Не </w:t>
      </w:r>
      <w:r w:rsidR="00FB2F7C" w:rsidRPr="006F3323">
        <w:rPr>
          <w:color w:val="212529"/>
          <w:spacing w:val="5"/>
        </w:rPr>
        <w:t xml:space="preserve">слід застосовувати </w:t>
      </w:r>
      <w:r w:rsidRPr="006F3323">
        <w:rPr>
          <w:color w:val="212529"/>
          <w:spacing w:val="5"/>
        </w:rPr>
        <w:t>НПЗЗ з 2</w:t>
      </w:r>
      <w:r w:rsidR="00FB2F7C" w:rsidRPr="006F3323">
        <w:rPr>
          <w:color w:val="212529"/>
          <w:spacing w:val="5"/>
        </w:rPr>
        <w:t>0-го по 28-й тиждень вагітності</w:t>
      </w:r>
      <w:r w:rsidRPr="006F3323">
        <w:rPr>
          <w:color w:val="212529"/>
          <w:spacing w:val="5"/>
        </w:rPr>
        <w:t xml:space="preserve"> без призначення лікаря.  </w:t>
      </w:r>
      <w:r w:rsidRPr="006F3323">
        <w:rPr>
          <w:color w:val="000000"/>
        </w:rPr>
        <w:t xml:space="preserve">ФЛАМІДЕЗ ГЕЛЬ протипоказаний </w:t>
      </w:r>
      <w:r w:rsidRPr="006F3323">
        <w:rPr>
          <w:color w:val="212529"/>
          <w:spacing w:val="5"/>
        </w:rPr>
        <w:t>в останньому триместрі вагітності (</w:t>
      </w:r>
      <w:r w:rsidR="00FB2F7C" w:rsidRPr="006F3323">
        <w:rPr>
          <w:color w:val="212529"/>
          <w:spacing w:val="5"/>
        </w:rPr>
        <w:t xml:space="preserve">починаючи </w:t>
      </w:r>
      <w:r w:rsidRPr="006F3323">
        <w:rPr>
          <w:color w:val="212529"/>
          <w:spacing w:val="5"/>
        </w:rPr>
        <w:t>з 28- го тижня і до кінця вагітності)</w:t>
      </w:r>
      <w:r w:rsidRPr="006F3323">
        <w:rPr>
          <w:color w:val="000000"/>
        </w:rPr>
        <w:t>.</w:t>
      </w:r>
    </w:p>
    <w:p w14:paraId="65EBB46C" w14:textId="77777777" w:rsidR="00D32102" w:rsidRPr="006F3323" w:rsidRDefault="00D32102" w:rsidP="007C37DD">
      <w:pPr>
        <w:pStyle w:val="xfm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6F3323">
        <w:rPr>
          <w:bCs/>
          <w:i/>
          <w:color w:val="000000"/>
        </w:rPr>
        <w:t>Годування груддю.</w:t>
      </w:r>
    </w:p>
    <w:p w14:paraId="1E757F22" w14:textId="77777777" w:rsidR="00D32102" w:rsidRPr="006F3323" w:rsidRDefault="00D32102" w:rsidP="007C37DD">
      <w:pPr>
        <w:shd w:val="clear" w:color="auto" w:fill="FFFFFF"/>
        <w:jc w:val="both"/>
        <w:rPr>
          <w:rFonts w:eastAsia="Arial Unicode MS"/>
        </w:rPr>
      </w:pPr>
      <w:r w:rsidRPr="006F3323">
        <w:t>У період годування груддю застосування препарату можливе лише у випадку, якщо, на думку лікаря, очікувана користь для матері перевищує ризик для плода. При цьому не можна наносити препарат на молочні залози або на велику поверхню шкіри, а також застосовувати протягом тривалого часу (понад 1 тиждень).</w:t>
      </w:r>
    </w:p>
    <w:p w14:paraId="1C9B0469" w14:textId="77777777" w:rsidR="00D32102" w:rsidRPr="006F3323" w:rsidRDefault="00D32102" w:rsidP="00D32102">
      <w:pPr>
        <w:pStyle w:val="xfmc1"/>
        <w:shd w:val="clear" w:color="auto" w:fill="FFFFFF"/>
        <w:spacing w:before="0" w:beforeAutospacing="0" w:after="0" w:afterAutospacing="0"/>
        <w:ind w:right="46"/>
        <w:jc w:val="both"/>
        <w:rPr>
          <w:bCs/>
          <w:iCs/>
          <w:color w:val="000000"/>
        </w:rPr>
      </w:pPr>
      <w:r w:rsidRPr="006F3323">
        <w:rPr>
          <w:bCs/>
          <w:iCs/>
          <w:color w:val="000000"/>
        </w:rPr>
        <w:t>Якщо лікування є необхідним, годування груддю слід припинити.</w:t>
      </w:r>
    </w:p>
    <w:p w14:paraId="0204E772" w14:textId="77777777" w:rsidR="00D32102" w:rsidRPr="006F3323" w:rsidRDefault="00D32102" w:rsidP="00D32102">
      <w:pPr>
        <w:pStyle w:val="xfmc1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6F3323">
        <w:rPr>
          <w:bCs/>
          <w:i/>
          <w:color w:val="000000"/>
        </w:rPr>
        <w:t>Фертильність у жінок.</w:t>
      </w:r>
    </w:p>
    <w:p w14:paraId="4D71F2AA" w14:textId="04CB2F2C" w:rsidR="00011F35" w:rsidRPr="006F3323" w:rsidRDefault="00D32102" w:rsidP="00D32102">
      <w:pPr>
        <w:jc w:val="both"/>
        <w:rPr>
          <w:b/>
          <w:i/>
          <w:color w:val="000000"/>
        </w:rPr>
      </w:pPr>
      <w:r w:rsidRPr="006F3323">
        <w:rPr>
          <w:bCs/>
          <w:iCs/>
          <w:color w:val="000000"/>
        </w:rPr>
        <w:t>Як і інші НПЗ</w:t>
      </w:r>
      <w:r w:rsidR="00D93C7A" w:rsidRPr="006F3323">
        <w:rPr>
          <w:bCs/>
          <w:iCs/>
          <w:color w:val="000000"/>
        </w:rPr>
        <w:t>З</w:t>
      </w:r>
      <w:r w:rsidRPr="006F3323">
        <w:rPr>
          <w:bCs/>
          <w:iCs/>
          <w:color w:val="000000"/>
        </w:rPr>
        <w:t xml:space="preserve">, ФЛАМІДЕЗ ГЕЛЬ може негативно впливати на жіночу фертильність, тому не рекомендується призначати </w:t>
      </w:r>
      <w:r w:rsidR="00D93C7A" w:rsidRPr="006F3323">
        <w:rPr>
          <w:bCs/>
          <w:iCs/>
          <w:color w:val="000000"/>
        </w:rPr>
        <w:t>лікарський засіб</w:t>
      </w:r>
      <w:r w:rsidRPr="006F3323">
        <w:rPr>
          <w:bCs/>
          <w:iCs/>
          <w:color w:val="000000"/>
        </w:rPr>
        <w:t xml:space="preserve"> жінкам, які планують вагітність. </w:t>
      </w:r>
      <w:r w:rsidR="00D93C7A" w:rsidRPr="006F3323">
        <w:rPr>
          <w:bCs/>
          <w:iCs/>
          <w:color w:val="000000"/>
        </w:rPr>
        <w:t>Якщо</w:t>
      </w:r>
      <w:r w:rsidRPr="006F3323">
        <w:rPr>
          <w:bCs/>
          <w:iCs/>
          <w:color w:val="000000"/>
        </w:rPr>
        <w:t xml:space="preserve"> жін</w:t>
      </w:r>
      <w:r w:rsidR="00D93C7A" w:rsidRPr="006F3323">
        <w:rPr>
          <w:bCs/>
          <w:iCs/>
          <w:color w:val="000000"/>
        </w:rPr>
        <w:t xml:space="preserve">ка </w:t>
      </w:r>
      <w:r w:rsidRPr="006F3323">
        <w:rPr>
          <w:bCs/>
          <w:iCs/>
          <w:color w:val="000000"/>
        </w:rPr>
        <w:t>ма</w:t>
      </w:r>
      <w:r w:rsidR="00D93C7A" w:rsidRPr="006F3323">
        <w:rPr>
          <w:bCs/>
          <w:iCs/>
          <w:color w:val="000000"/>
        </w:rPr>
        <w:t>є</w:t>
      </w:r>
      <w:r w:rsidRPr="006F3323">
        <w:rPr>
          <w:bCs/>
          <w:iCs/>
          <w:color w:val="000000"/>
        </w:rPr>
        <w:t xml:space="preserve"> проблеми із зачаттям або проход</w:t>
      </w:r>
      <w:r w:rsidR="00D93C7A" w:rsidRPr="006F3323">
        <w:rPr>
          <w:bCs/>
          <w:iCs/>
          <w:color w:val="000000"/>
        </w:rPr>
        <w:t>и</w:t>
      </w:r>
      <w:r w:rsidRPr="006F3323">
        <w:rPr>
          <w:bCs/>
          <w:iCs/>
          <w:color w:val="000000"/>
        </w:rPr>
        <w:t xml:space="preserve">ть обстеження щодо безпліддя, слід розглянути доцільність відміни </w:t>
      </w:r>
      <w:r w:rsidR="00D93C7A" w:rsidRPr="006F3323">
        <w:rPr>
          <w:bCs/>
          <w:iCs/>
          <w:color w:val="000000"/>
        </w:rPr>
        <w:t>лікарського засобу</w:t>
      </w:r>
      <w:r w:rsidRPr="006F3323">
        <w:rPr>
          <w:bCs/>
          <w:iCs/>
          <w:color w:val="000000"/>
        </w:rPr>
        <w:t xml:space="preserve"> ФЛАМІДЕЗ ГЕЛЬ</w:t>
      </w:r>
      <w:r w:rsidRPr="006F3323">
        <w:rPr>
          <w:bCs/>
          <w:i/>
          <w:color w:val="000000"/>
        </w:rPr>
        <w:t>.</w:t>
      </w:r>
    </w:p>
    <w:p w14:paraId="05C29CD7" w14:textId="77777777" w:rsidR="00D32102" w:rsidRPr="006F3323" w:rsidRDefault="00D32102" w:rsidP="00D32102">
      <w:pPr>
        <w:jc w:val="both"/>
        <w:rPr>
          <w:rFonts w:eastAsia="Arial Unicode MS"/>
        </w:rPr>
      </w:pPr>
    </w:p>
    <w:p w14:paraId="27773B33" w14:textId="77777777" w:rsidR="00011F35" w:rsidRPr="006F3323" w:rsidRDefault="00011F35" w:rsidP="00D679CE">
      <w:pPr>
        <w:jc w:val="both"/>
        <w:rPr>
          <w:i/>
          <w:iCs/>
        </w:rPr>
      </w:pPr>
      <w:r w:rsidRPr="006F3323">
        <w:rPr>
          <w:i/>
        </w:rPr>
        <w:t>Здатність впливати на швидкість реакції при керуванні автотранспортом або роботі з іншими механізмами.</w:t>
      </w:r>
      <w:r w:rsidRPr="006F3323">
        <w:rPr>
          <w:i/>
          <w:iCs/>
        </w:rPr>
        <w:t xml:space="preserve"> </w:t>
      </w:r>
    </w:p>
    <w:p w14:paraId="2426EC65" w14:textId="77777777" w:rsidR="00011F35" w:rsidRPr="006F3323" w:rsidRDefault="00011F35" w:rsidP="001F478A">
      <w:pPr>
        <w:rPr>
          <w:lang w:eastAsia="ja-JP"/>
        </w:rPr>
      </w:pPr>
      <w:proofErr w:type="spellStart"/>
      <w:r w:rsidRPr="006F3323">
        <w:rPr>
          <w:bCs/>
          <w:lang w:eastAsia="ja-JP"/>
        </w:rPr>
        <w:t>Фламідез</w:t>
      </w:r>
      <w:proofErr w:type="spellEnd"/>
      <w:r w:rsidRPr="006F3323">
        <w:rPr>
          <w:lang w:eastAsia="ja-JP"/>
        </w:rPr>
        <w:t xml:space="preserve"> гель при зовнішньому застосуванні не в</w:t>
      </w:r>
      <w:r w:rsidR="004D5C5A" w:rsidRPr="006F3323">
        <w:rPr>
          <w:lang w:eastAsia="ja-JP"/>
        </w:rPr>
        <w:t>п</w:t>
      </w:r>
      <w:r w:rsidRPr="006F3323">
        <w:rPr>
          <w:lang w:eastAsia="ja-JP"/>
        </w:rPr>
        <w:t xml:space="preserve">ливає на здатність керувати транспортними засобами та складними механізмами. </w:t>
      </w:r>
    </w:p>
    <w:p w14:paraId="0447A281" w14:textId="77777777" w:rsidR="004D5C5A" w:rsidRPr="006F3323" w:rsidRDefault="004D5C5A" w:rsidP="00D679CE">
      <w:pPr>
        <w:jc w:val="both"/>
        <w:rPr>
          <w:b/>
          <w:i/>
          <w:iCs/>
        </w:rPr>
      </w:pPr>
    </w:p>
    <w:p w14:paraId="4B31F119" w14:textId="77777777" w:rsidR="00011F35" w:rsidRPr="006F3323" w:rsidRDefault="00011F35" w:rsidP="00D679CE">
      <w:pPr>
        <w:jc w:val="both"/>
      </w:pPr>
      <w:r w:rsidRPr="006F3323">
        <w:rPr>
          <w:b/>
          <w:i/>
          <w:iCs/>
        </w:rPr>
        <w:t>Спосіб застосування та дози</w:t>
      </w:r>
      <w:r w:rsidRPr="006F3323">
        <w:rPr>
          <w:b/>
          <w:i/>
        </w:rPr>
        <w:t>.</w:t>
      </w:r>
    </w:p>
    <w:p w14:paraId="55FB3BCD" w14:textId="77777777" w:rsidR="00011F35" w:rsidRPr="006F3323" w:rsidRDefault="00011F35" w:rsidP="00D679CE">
      <w:pPr>
        <w:jc w:val="both"/>
      </w:pPr>
      <w:r w:rsidRPr="006F3323">
        <w:t>Лише для зовнішнього застосування.</w:t>
      </w:r>
    </w:p>
    <w:p w14:paraId="2231FAA5" w14:textId="77777777" w:rsidR="00011F35" w:rsidRPr="006F3323" w:rsidRDefault="00011F35" w:rsidP="00D679CE">
      <w:pPr>
        <w:jc w:val="both"/>
      </w:pPr>
      <w:r w:rsidRPr="006F3323">
        <w:t>Дорослим та дітям віком від 14 років на уражену ділянку необхідно нанести на шкіру невелику кількість гелю по 2</w:t>
      </w:r>
      <w:r w:rsidR="00021D20" w:rsidRPr="006F3323">
        <w:t>–</w:t>
      </w:r>
      <w:r w:rsidRPr="006F3323">
        <w:t>4 г, що за розміром відповідає розміру вишні або волоського горіха, 3</w:t>
      </w:r>
      <w:r w:rsidR="00021D20" w:rsidRPr="006F3323">
        <w:t>–</w:t>
      </w:r>
      <w:r w:rsidRPr="006F3323">
        <w:t xml:space="preserve">4 рази на добу, легко втираючи до повного всмоктування. Бажано уникати тривалого застосування гелю на великі ділянки шкіри та у великих дозах. Гель можна застосовувати одночасно з пероральним застосуванням таблеток </w:t>
      </w:r>
      <w:proofErr w:type="spellStart"/>
      <w:r w:rsidRPr="006F3323">
        <w:t>диклофенаку</w:t>
      </w:r>
      <w:proofErr w:type="spellEnd"/>
      <w:r w:rsidRPr="006F3323">
        <w:t xml:space="preserve"> натрію за умови попередньої консультації лікаря. </w:t>
      </w:r>
    </w:p>
    <w:p w14:paraId="7269573E" w14:textId="77777777" w:rsidR="00011F35" w:rsidRPr="006F3323" w:rsidRDefault="00011F35" w:rsidP="00D679CE">
      <w:pPr>
        <w:jc w:val="both"/>
      </w:pPr>
      <w:r w:rsidRPr="006F3323">
        <w:t>Після аплікації препарату руки необхідно вимити, якщо тільки ця ділянка не піддавалась лікуванню.</w:t>
      </w:r>
    </w:p>
    <w:p w14:paraId="4E44D46B" w14:textId="77777777" w:rsidR="00011F35" w:rsidRPr="006F3323" w:rsidRDefault="00011F35" w:rsidP="00D679CE">
      <w:pPr>
        <w:jc w:val="both"/>
      </w:pPr>
      <w:r w:rsidRPr="006F3323">
        <w:t>Тривалість лікування залежить від показань і ефективності лікування та визначається лікарем. Гель не слід застосовувати більше 14 днів при ушкодженні та ревматизмі м</w:t>
      </w:r>
      <w:r w:rsidR="00DA49F2" w:rsidRPr="006F3323">
        <w:t>’</w:t>
      </w:r>
      <w:r w:rsidRPr="006F3323">
        <w:t>яких тканин або більше 21 дня у разі болю при артриті, якщо інше не рекомендовано лікарем.</w:t>
      </w:r>
    </w:p>
    <w:p w14:paraId="4195E01E" w14:textId="77777777" w:rsidR="00011F35" w:rsidRPr="006F3323" w:rsidRDefault="00011F35" w:rsidP="00D679CE">
      <w:pPr>
        <w:shd w:val="clear" w:color="auto" w:fill="FFFFFF"/>
        <w:ind w:right="10"/>
        <w:jc w:val="both"/>
      </w:pPr>
      <w:r w:rsidRPr="006F3323">
        <w:t>Пацієнти літнього віку можуть застосовувати звичайні дози.</w:t>
      </w:r>
    </w:p>
    <w:p w14:paraId="2DC3B12C" w14:textId="77777777" w:rsidR="00011F35" w:rsidRPr="006F3323" w:rsidRDefault="00011F35" w:rsidP="00D679CE">
      <w:pPr>
        <w:shd w:val="clear" w:color="auto" w:fill="FFFFFF"/>
        <w:ind w:right="10"/>
        <w:jc w:val="both"/>
        <w:rPr>
          <w:rFonts w:eastAsia="Arial Unicode MS"/>
        </w:rPr>
      </w:pPr>
    </w:p>
    <w:p w14:paraId="4770A965" w14:textId="77777777" w:rsidR="00011F35" w:rsidRPr="006F3323" w:rsidRDefault="00011F35" w:rsidP="00D679CE">
      <w:pPr>
        <w:shd w:val="clear" w:color="auto" w:fill="FFFFFF"/>
        <w:ind w:right="10"/>
        <w:jc w:val="both"/>
        <w:rPr>
          <w:rFonts w:eastAsia="Arial Unicode MS"/>
        </w:rPr>
      </w:pPr>
      <w:r w:rsidRPr="006F3323">
        <w:rPr>
          <w:rFonts w:eastAsia="Arial Unicode MS"/>
          <w:i/>
        </w:rPr>
        <w:t>Діти.</w:t>
      </w:r>
      <w:r w:rsidRPr="006F3323">
        <w:rPr>
          <w:rFonts w:eastAsia="Arial Unicode MS"/>
          <w:i/>
        </w:rPr>
        <w:br/>
      </w:r>
      <w:r w:rsidRPr="006F3323">
        <w:rPr>
          <w:rFonts w:eastAsia="Arial Unicode MS"/>
        </w:rPr>
        <w:t>Протипоказаний дітям віком до 14 років. При застосуванні лікарського засобу дітям віком від 14 років довше 7 днів або якщо симптоми захворювання посилюються, необхідно звернутися за консультацією до лікаря.</w:t>
      </w:r>
    </w:p>
    <w:p w14:paraId="481F5B50" w14:textId="77777777" w:rsidR="00011F35" w:rsidRPr="006F3323" w:rsidRDefault="00011F35" w:rsidP="00D679CE"/>
    <w:p w14:paraId="75FEDACF" w14:textId="77777777" w:rsidR="00011F35" w:rsidRPr="006F3323" w:rsidRDefault="00011F35" w:rsidP="003C2E46">
      <w:pPr>
        <w:keepNext/>
        <w:jc w:val="both"/>
      </w:pPr>
      <w:r w:rsidRPr="006F3323">
        <w:rPr>
          <w:b/>
          <w:i/>
          <w:iCs/>
        </w:rPr>
        <w:t>Передозування.</w:t>
      </w:r>
      <w:r w:rsidRPr="006F3323">
        <w:t xml:space="preserve"> </w:t>
      </w:r>
    </w:p>
    <w:p w14:paraId="4D1D33BB" w14:textId="77777777" w:rsidR="00011F35" w:rsidRPr="006F3323" w:rsidRDefault="00011F35" w:rsidP="00D679CE">
      <w:pPr>
        <w:shd w:val="clear" w:color="auto" w:fill="FFFFFF"/>
        <w:jc w:val="both"/>
        <w:rPr>
          <w:rFonts w:eastAsia="Arial Unicode MS"/>
          <w:spacing w:val="-4"/>
        </w:rPr>
      </w:pPr>
      <w:r w:rsidRPr="006F3323">
        <w:rPr>
          <w:rFonts w:eastAsia="Arial Unicode MS"/>
          <w:spacing w:val="-4"/>
        </w:rPr>
        <w:t xml:space="preserve">Передозування малоймовірне, оскільки системна абсорбція </w:t>
      </w:r>
      <w:proofErr w:type="spellStart"/>
      <w:r w:rsidRPr="006F3323">
        <w:rPr>
          <w:rFonts w:eastAsia="Arial Unicode MS"/>
          <w:spacing w:val="-4"/>
        </w:rPr>
        <w:t>диклофенаку</w:t>
      </w:r>
      <w:proofErr w:type="spellEnd"/>
      <w:r w:rsidRPr="006F3323">
        <w:rPr>
          <w:rFonts w:eastAsia="Arial Unicode MS"/>
          <w:spacing w:val="-4"/>
        </w:rPr>
        <w:t xml:space="preserve"> при місцевому застосуванні дуже невелика. При випадковому прийомі внутрішньо можливий розвиток системних побічних реакцій. </w:t>
      </w:r>
    </w:p>
    <w:p w14:paraId="74566293" w14:textId="77777777" w:rsidR="00011F35" w:rsidRPr="006F3323" w:rsidRDefault="00011F35" w:rsidP="00D679CE">
      <w:pPr>
        <w:shd w:val="clear" w:color="auto" w:fill="FFFFFF"/>
        <w:jc w:val="both"/>
        <w:rPr>
          <w:rFonts w:eastAsia="Arial Unicode MS"/>
        </w:rPr>
      </w:pPr>
      <w:r w:rsidRPr="006F3323">
        <w:rPr>
          <w:rFonts w:eastAsia="Arial Unicode MS"/>
          <w:spacing w:val="-4"/>
        </w:rPr>
        <w:t>У разі випадкового проковтування препарату показане промивання шлунк</w:t>
      </w:r>
      <w:r w:rsidR="00021D20" w:rsidRPr="006F3323">
        <w:rPr>
          <w:rFonts w:eastAsia="Arial Unicode MS"/>
          <w:spacing w:val="-4"/>
        </w:rPr>
        <w:t>а</w:t>
      </w:r>
      <w:r w:rsidRPr="006F3323">
        <w:rPr>
          <w:rFonts w:eastAsia="Arial Unicode MS"/>
          <w:spacing w:val="-4"/>
        </w:rPr>
        <w:t xml:space="preserve">, застосування адсорбентів та симптоматичне лікування із застосуванням терапевтичних заходів, що застосовуються для лікування отруєння </w:t>
      </w:r>
      <w:r w:rsidR="00021D20" w:rsidRPr="006F3323">
        <w:rPr>
          <w:rFonts w:eastAsia="Arial Unicode MS"/>
          <w:spacing w:val="-4"/>
        </w:rPr>
        <w:t>НПЗЗ</w:t>
      </w:r>
      <w:r w:rsidRPr="006F3323">
        <w:rPr>
          <w:rFonts w:eastAsia="Arial Unicode MS"/>
          <w:spacing w:val="-4"/>
        </w:rPr>
        <w:t>. Хворому слід звернутися до лікаря. Симптоматичне лікування проводиться з появою ознак розвитку ускладнень, таких як підвищений артеріальний тиск, ниркова недостатність, судоми, пригнічення дихання, ускладнення з боку травного тракту.</w:t>
      </w:r>
    </w:p>
    <w:p w14:paraId="311092D8" w14:textId="77777777" w:rsidR="00011F35" w:rsidRPr="006F3323" w:rsidRDefault="00011F35" w:rsidP="00D679CE"/>
    <w:p w14:paraId="63DE429B" w14:textId="77777777" w:rsidR="00011F35" w:rsidRPr="006F3323" w:rsidRDefault="00011F35" w:rsidP="00D679CE">
      <w:pPr>
        <w:jc w:val="both"/>
      </w:pPr>
      <w:r w:rsidRPr="006F3323">
        <w:rPr>
          <w:b/>
          <w:i/>
          <w:iCs/>
        </w:rPr>
        <w:t>Побічні реакції.</w:t>
      </w:r>
      <w:r w:rsidRPr="006F3323">
        <w:t xml:space="preserve"> </w:t>
      </w:r>
    </w:p>
    <w:p w14:paraId="60AE21DA" w14:textId="77777777" w:rsidR="00011F35" w:rsidRPr="006F3323" w:rsidRDefault="00011F35" w:rsidP="00D679CE">
      <w:pPr>
        <w:widowControl w:val="0"/>
        <w:jc w:val="both"/>
      </w:pPr>
      <w:r w:rsidRPr="006F3323">
        <w:t xml:space="preserve">Зазвичай </w:t>
      </w:r>
      <w:proofErr w:type="spellStart"/>
      <w:r w:rsidRPr="006F3323">
        <w:t>Фламідез</w:t>
      </w:r>
      <w:proofErr w:type="spellEnd"/>
      <w:r w:rsidRPr="006F3323">
        <w:t xml:space="preserve"> гель добре переноситься пацієнтами. </w:t>
      </w:r>
    </w:p>
    <w:p w14:paraId="13559778" w14:textId="77777777" w:rsidR="00011F35" w:rsidRPr="006F3323" w:rsidRDefault="00011F35" w:rsidP="00D679CE">
      <w:pPr>
        <w:widowControl w:val="0"/>
        <w:jc w:val="both"/>
      </w:pPr>
      <w:r w:rsidRPr="006F3323">
        <w:rPr>
          <w:i/>
        </w:rPr>
        <w:t>З боку імунної системи:</w:t>
      </w:r>
      <w:r w:rsidRPr="006F3323">
        <w:t xml:space="preserve"> поодинок</w:t>
      </w:r>
      <w:r w:rsidR="00021D20" w:rsidRPr="006F3323">
        <w:t>і</w:t>
      </w:r>
      <w:r w:rsidRPr="006F3323">
        <w:t xml:space="preserve"> випадк</w:t>
      </w:r>
      <w:r w:rsidR="00021D20" w:rsidRPr="006F3323">
        <w:t>и</w:t>
      </w:r>
      <w:r w:rsidRPr="006F3323">
        <w:t xml:space="preserve"> </w:t>
      </w:r>
      <w:r w:rsidR="00021D20" w:rsidRPr="006F3323">
        <w:t xml:space="preserve">– </w:t>
      </w:r>
      <w:r w:rsidRPr="006F3323">
        <w:t>у місці нанесення гелю відзначалося почервоніння шкіри, свербіж, печіння або висипання (у тому числі пустульозні) на шкірі, екзема.</w:t>
      </w:r>
    </w:p>
    <w:p w14:paraId="55A07FF4" w14:textId="6B48E710" w:rsidR="00011F35" w:rsidRPr="006F3323" w:rsidRDefault="00011F35" w:rsidP="00D679CE">
      <w:pPr>
        <w:widowControl w:val="0"/>
        <w:jc w:val="both"/>
        <w:rPr>
          <w:bCs/>
          <w:iCs/>
        </w:rPr>
      </w:pPr>
      <w:r w:rsidRPr="006F3323">
        <w:rPr>
          <w:i/>
        </w:rPr>
        <w:t xml:space="preserve">З боку шкіри та сполучних тканин: </w:t>
      </w:r>
      <w:r w:rsidRPr="006F3323">
        <w:t>дуже рідк</w:t>
      </w:r>
      <w:r w:rsidR="00021D20" w:rsidRPr="006F3323">
        <w:t>о</w:t>
      </w:r>
      <w:r w:rsidRPr="006F3323">
        <w:t xml:space="preserve"> </w:t>
      </w:r>
      <w:r w:rsidR="00021D20" w:rsidRPr="006F3323">
        <w:t>–</w:t>
      </w:r>
      <w:r w:rsidRPr="006F3323">
        <w:t xml:space="preserve"> шкірні алергічні реакції</w:t>
      </w:r>
      <w:r w:rsidR="00021D20" w:rsidRPr="006F3323">
        <w:t>;</w:t>
      </w:r>
      <w:r w:rsidRPr="006F3323">
        <w:t xml:space="preserve"> </w:t>
      </w:r>
      <w:r w:rsidR="00021D20" w:rsidRPr="006F3323">
        <w:t>рідко</w:t>
      </w:r>
      <w:r w:rsidRPr="006F3323">
        <w:t xml:space="preserve"> </w:t>
      </w:r>
      <w:r w:rsidR="00021D20" w:rsidRPr="006F3323">
        <w:t>–</w:t>
      </w:r>
      <w:r w:rsidRPr="006F3323">
        <w:t xml:space="preserve"> дерматит</w:t>
      </w:r>
      <w:r w:rsidR="00021D20" w:rsidRPr="006F3323">
        <w:t xml:space="preserve">, </w:t>
      </w:r>
      <w:r w:rsidRPr="006F3323">
        <w:t>у тому числі контактний (наприклад, локалізован</w:t>
      </w:r>
      <w:r w:rsidR="00021D20" w:rsidRPr="006F3323">
        <w:t>і</w:t>
      </w:r>
      <w:r w:rsidRPr="006F3323">
        <w:t xml:space="preserve"> висип</w:t>
      </w:r>
      <w:r w:rsidR="00021D20" w:rsidRPr="006F3323">
        <w:t>ання</w:t>
      </w:r>
      <w:r w:rsidRPr="006F3323">
        <w:t xml:space="preserve"> на шкірі, відчуття свербіння, почервоніння, набряки або папули)</w:t>
      </w:r>
      <w:r w:rsidR="00021D20" w:rsidRPr="006F3323">
        <w:t>,</w:t>
      </w:r>
      <w:r w:rsidRPr="006F3323">
        <w:t xml:space="preserve"> </w:t>
      </w:r>
      <w:proofErr w:type="spellStart"/>
      <w:r w:rsidRPr="006F3323">
        <w:t>бульозний</w:t>
      </w:r>
      <w:proofErr w:type="spellEnd"/>
      <w:r w:rsidRPr="006F3323">
        <w:t xml:space="preserve"> дерматит</w:t>
      </w:r>
      <w:r w:rsidR="00021D20" w:rsidRPr="006F3323">
        <w:t>;</w:t>
      </w:r>
      <w:r w:rsidRPr="006F3323">
        <w:t xml:space="preserve"> поодинок</w:t>
      </w:r>
      <w:r w:rsidR="00021D20" w:rsidRPr="006F3323">
        <w:t>і</w:t>
      </w:r>
      <w:r w:rsidRPr="006F3323">
        <w:t xml:space="preserve"> випадк</w:t>
      </w:r>
      <w:r w:rsidR="00021D20" w:rsidRPr="006F3323">
        <w:t>и –</w:t>
      </w:r>
      <w:proofErr w:type="spellStart"/>
      <w:r w:rsidRPr="006F3323">
        <w:t>генералізовані</w:t>
      </w:r>
      <w:proofErr w:type="spellEnd"/>
      <w:r w:rsidRPr="006F3323">
        <w:t xml:space="preserve"> шкірні реакції, кропив</w:t>
      </w:r>
      <w:r w:rsidR="00DA49F2" w:rsidRPr="006F3323">
        <w:t>’</w:t>
      </w:r>
      <w:r w:rsidRPr="006F3323">
        <w:t xml:space="preserve">янка, </w:t>
      </w:r>
      <w:proofErr w:type="spellStart"/>
      <w:r w:rsidRPr="006F3323">
        <w:t>ангіоневротичний</w:t>
      </w:r>
      <w:proofErr w:type="spellEnd"/>
      <w:r w:rsidRPr="006F3323">
        <w:t xml:space="preserve"> набряк, </w:t>
      </w:r>
      <w:proofErr w:type="spellStart"/>
      <w:r w:rsidRPr="006F3323">
        <w:t>фотосенсибілізація</w:t>
      </w:r>
      <w:proofErr w:type="spellEnd"/>
      <w:r w:rsidRPr="006F3323">
        <w:t xml:space="preserve">, </w:t>
      </w:r>
      <w:proofErr w:type="spellStart"/>
      <w:r w:rsidRPr="006F3323">
        <w:t>бронхоспазм</w:t>
      </w:r>
      <w:proofErr w:type="spellEnd"/>
      <w:r w:rsidRPr="006F3323">
        <w:t>, бронхіальна астма.</w:t>
      </w:r>
      <w:r w:rsidR="00D32102" w:rsidRPr="006F3323">
        <w:rPr>
          <w:b/>
          <w:i/>
        </w:rPr>
        <w:t xml:space="preserve"> </w:t>
      </w:r>
      <w:r w:rsidR="00D32102" w:rsidRPr="006F3323">
        <w:rPr>
          <w:bCs/>
          <w:iCs/>
        </w:rPr>
        <w:t xml:space="preserve">Можливі опіки в місці нанесення </w:t>
      </w:r>
      <w:r w:rsidR="00017316" w:rsidRPr="006F3323">
        <w:rPr>
          <w:bCs/>
          <w:iCs/>
        </w:rPr>
        <w:t>лікарського засобу</w:t>
      </w:r>
      <w:r w:rsidR="00D32102" w:rsidRPr="006F3323">
        <w:rPr>
          <w:bCs/>
          <w:iCs/>
        </w:rPr>
        <w:t>.</w:t>
      </w:r>
    </w:p>
    <w:p w14:paraId="095997AC" w14:textId="77777777" w:rsidR="00011F35" w:rsidRPr="006F3323" w:rsidRDefault="00011F35" w:rsidP="00D679CE">
      <w:pPr>
        <w:widowControl w:val="0"/>
        <w:jc w:val="both"/>
      </w:pPr>
      <w:r w:rsidRPr="006F3323">
        <w:rPr>
          <w:i/>
        </w:rPr>
        <w:t xml:space="preserve">Системні реакції. </w:t>
      </w:r>
      <w:r w:rsidRPr="006F3323">
        <w:t>Якщо гель наносит</w:t>
      </w:r>
      <w:r w:rsidR="00021D20" w:rsidRPr="006F3323">
        <w:t>и</w:t>
      </w:r>
      <w:r w:rsidRPr="006F3323">
        <w:t xml:space="preserve"> на великі ділянки шкіри протягом тривалого часу, не можна виключати можливість виникнення системних побічних реакцій. Однак імовірність їх виникнення після місцевого застосування </w:t>
      </w:r>
      <w:proofErr w:type="spellStart"/>
      <w:r w:rsidRPr="006F3323">
        <w:t>диклофенаку</w:t>
      </w:r>
      <w:proofErr w:type="spellEnd"/>
      <w:r w:rsidRPr="006F3323">
        <w:t xml:space="preserve"> невелика порівнян</w:t>
      </w:r>
      <w:r w:rsidR="00021D20" w:rsidRPr="006F3323">
        <w:t>о</w:t>
      </w:r>
      <w:r w:rsidRPr="006F3323">
        <w:t xml:space="preserve"> з частотою побічних реакцій під час перорального лікування </w:t>
      </w:r>
      <w:proofErr w:type="spellStart"/>
      <w:r w:rsidRPr="006F3323">
        <w:t>диклофенаком</w:t>
      </w:r>
      <w:proofErr w:type="spellEnd"/>
      <w:r w:rsidRPr="006F3323">
        <w:t xml:space="preserve">. У випадку виникнення системних реакцій слід керуватися інформацією, викладеною в інструкціях для медичного застосування для інших форм випуску </w:t>
      </w:r>
      <w:proofErr w:type="spellStart"/>
      <w:r w:rsidRPr="006F3323">
        <w:t>диклофенаку</w:t>
      </w:r>
      <w:proofErr w:type="spellEnd"/>
      <w:r w:rsidRPr="006F3323">
        <w:t>.</w:t>
      </w:r>
    </w:p>
    <w:p w14:paraId="4D1C67C4" w14:textId="77777777" w:rsidR="00011F35" w:rsidRPr="006F3323" w:rsidRDefault="00011F35" w:rsidP="00D679CE">
      <w:pPr>
        <w:widowControl w:val="0"/>
        <w:jc w:val="both"/>
      </w:pPr>
      <w:r w:rsidRPr="006F3323">
        <w:t xml:space="preserve">У разі появи будь-яких шкірних </w:t>
      </w:r>
      <w:proofErr w:type="spellStart"/>
      <w:r w:rsidRPr="006F3323">
        <w:t>висипань</w:t>
      </w:r>
      <w:proofErr w:type="spellEnd"/>
      <w:r w:rsidRPr="006F3323">
        <w:t xml:space="preserve"> слід припинити застосування </w:t>
      </w:r>
      <w:r w:rsidR="00021D20" w:rsidRPr="006F3323">
        <w:t>лікарського засобу</w:t>
      </w:r>
      <w:r w:rsidRPr="006F3323">
        <w:t>.</w:t>
      </w:r>
    </w:p>
    <w:p w14:paraId="55C5B294" w14:textId="77777777" w:rsidR="00011F35" w:rsidRPr="006F3323" w:rsidRDefault="00011F35" w:rsidP="00D679CE">
      <w:pPr>
        <w:jc w:val="both"/>
        <w:rPr>
          <w:rFonts w:eastAsia="Arial Unicode MS"/>
          <w:lang w:eastAsia="uk-UA"/>
        </w:rPr>
      </w:pPr>
      <w:r w:rsidRPr="006F3323">
        <w:t>У разі появи будь-яких інших побічних явищ або незвичних реакцій слід звернутися до лікаря.</w:t>
      </w:r>
      <w:r w:rsidRPr="006F3323">
        <w:rPr>
          <w:rFonts w:eastAsia="Arial Unicode MS"/>
          <w:lang w:eastAsia="uk-UA"/>
        </w:rPr>
        <w:t xml:space="preserve"> </w:t>
      </w:r>
    </w:p>
    <w:p w14:paraId="1C60B295" w14:textId="77777777" w:rsidR="00011F35" w:rsidRPr="006F3323" w:rsidRDefault="00011F35" w:rsidP="00D679CE"/>
    <w:p w14:paraId="44AFB74D" w14:textId="77777777" w:rsidR="00011F35" w:rsidRPr="006F3323" w:rsidRDefault="00011F35" w:rsidP="00D679CE">
      <w:pPr>
        <w:jc w:val="both"/>
        <w:rPr>
          <w:iCs/>
        </w:rPr>
      </w:pPr>
      <w:r w:rsidRPr="006F3323">
        <w:rPr>
          <w:b/>
          <w:i/>
        </w:rPr>
        <w:t>Термін придатності.</w:t>
      </w:r>
      <w:r w:rsidRPr="006F3323">
        <w:rPr>
          <w:i/>
          <w:iCs/>
        </w:rPr>
        <w:t xml:space="preserve"> </w:t>
      </w:r>
      <w:r w:rsidRPr="006F3323">
        <w:rPr>
          <w:iCs/>
        </w:rPr>
        <w:t>2 роки.</w:t>
      </w:r>
    </w:p>
    <w:p w14:paraId="2417CF27" w14:textId="77777777" w:rsidR="00011F35" w:rsidRPr="006F3323" w:rsidRDefault="00011F35" w:rsidP="00D679CE"/>
    <w:p w14:paraId="4072DE44" w14:textId="77777777" w:rsidR="00011F35" w:rsidRPr="006F3323" w:rsidRDefault="00011F35" w:rsidP="00D679CE">
      <w:pPr>
        <w:jc w:val="both"/>
      </w:pPr>
      <w:r w:rsidRPr="006F3323">
        <w:rPr>
          <w:b/>
        </w:rPr>
        <w:t>Умови зберігання.</w:t>
      </w:r>
      <w:r w:rsidRPr="006F3323">
        <w:t xml:space="preserve"> </w:t>
      </w:r>
    </w:p>
    <w:p w14:paraId="11C59B0A" w14:textId="77777777" w:rsidR="00011F35" w:rsidRPr="006F3323" w:rsidRDefault="00011F35" w:rsidP="00D679CE">
      <w:pPr>
        <w:jc w:val="both"/>
      </w:pPr>
      <w:r w:rsidRPr="006F3323">
        <w:t xml:space="preserve">Зберігати в оригінальній упаковці </w:t>
      </w:r>
      <w:r w:rsidR="00DB4D03" w:rsidRPr="006F3323">
        <w:t>в</w:t>
      </w:r>
      <w:r w:rsidRPr="006F3323">
        <w:t xml:space="preserve"> недоступному для дітей місці при температурі не вище 30 °C. Не заморожувати.</w:t>
      </w:r>
    </w:p>
    <w:p w14:paraId="64D99B48" w14:textId="77777777" w:rsidR="00011F35" w:rsidRPr="006F3323" w:rsidRDefault="00011F35" w:rsidP="00D679CE"/>
    <w:p w14:paraId="0B271265" w14:textId="77777777" w:rsidR="00011F35" w:rsidRPr="006F3323" w:rsidRDefault="00011F35" w:rsidP="00D679CE">
      <w:pPr>
        <w:jc w:val="both"/>
      </w:pPr>
      <w:r w:rsidRPr="006F3323">
        <w:rPr>
          <w:b/>
        </w:rPr>
        <w:t>Упаковка.</w:t>
      </w:r>
      <w:r w:rsidRPr="006F3323">
        <w:t xml:space="preserve"> </w:t>
      </w:r>
    </w:p>
    <w:p w14:paraId="74F95C1E" w14:textId="77777777" w:rsidR="00011F35" w:rsidRPr="006F3323" w:rsidRDefault="002325D9" w:rsidP="00D679CE">
      <w:r w:rsidRPr="006F3323">
        <w:t>По 20 г, 30 г, 40 г або 100 г в ламінованій тубі; по 1 тубі в картонній коробці.</w:t>
      </w:r>
    </w:p>
    <w:p w14:paraId="1D4FEA47" w14:textId="77777777" w:rsidR="00F14DB2" w:rsidRPr="006F3323" w:rsidRDefault="00F14DB2" w:rsidP="00D679CE"/>
    <w:p w14:paraId="1DDB778B" w14:textId="77777777" w:rsidR="00011F35" w:rsidRPr="006F3323" w:rsidRDefault="00011F35" w:rsidP="00D679CE">
      <w:pPr>
        <w:jc w:val="both"/>
      </w:pPr>
      <w:r w:rsidRPr="006F3323">
        <w:rPr>
          <w:b/>
        </w:rPr>
        <w:t>Категорія відпуску.</w:t>
      </w:r>
      <w:r w:rsidRPr="006F3323">
        <w:t xml:space="preserve"> Без рецепта. </w:t>
      </w:r>
    </w:p>
    <w:p w14:paraId="0785C97F" w14:textId="77777777" w:rsidR="00011F35" w:rsidRPr="006F3323" w:rsidRDefault="00011F35" w:rsidP="00D679CE"/>
    <w:p w14:paraId="328FB0E1" w14:textId="77777777" w:rsidR="00011F35" w:rsidRPr="006F3323" w:rsidRDefault="00021D20" w:rsidP="00D679CE">
      <w:pPr>
        <w:jc w:val="both"/>
        <w:rPr>
          <w:b/>
        </w:rPr>
      </w:pPr>
      <w:r w:rsidRPr="006F3323">
        <w:rPr>
          <w:b/>
          <w:bCs/>
        </w:rPr>
        <w:t>В</w:t>
      </w:r>
      <w:r w:rsidR="00011F35" w:rsidRPr="006F3323">
        <w:rPr>
          <w:b/>
          <w:bCs/>
        </w:rPr>
        <w:t>иробник.</w:t>
      </w:r>
    </w:p>
    <w:p w14:paraId="4D8173DD" w14:textId="77777777" w:rsidR="00C55188" w:rsidRPr="006F3323" w:rsidRDefault="00382441" w:rsidP="00D679CE">
      <w:pPr>
        <w:jc w:val="both"/>
      </w:pPr>
      <w:proofErr w:type="spellStart"/>
      <w:r w:rsidRPr="006F3323">
        <w:t>Енк</w:t>
      </w:r>
      <w:r w:rsidR="00DA49F2" w:rsidRPr="006F3323">
        <w:t>’</w:t>
      </w:r>
      <w:r w:rsidRPr="006F3323">
        <w:t>юб</w:t>
      </w:r>
      <w:proofErr w:type="spellEnd"/>
      <w:r w:rsidRPr="006F3323">
        <w:t xml:space="preserve"> </w:t>
      </w:r>
      <w:proofErr w:type="spellStart"/>
      <w:r w:rsidRPr="006F3323">
        <w:t>Етікалз</w:t>
      </w:r>
      <w:proofErr w:type="spellEnd"/>
      <w:r w:rsidRPr="006F3323">
        <w:t xml:space="preserve"> </w:t>
      </w:r>
      <w:proofErr w:type="spellStart"/>
      <w:r w:rsidRPr="006F3323">
        <w:t>Прайвіт</w:t>
      </w:r>
      <w:proofErr w:type="spellEnd"/>
      <w:r w:rsidRPr="006F3323">
        <w:t xml:space="preserve"> Лімітед</w:t>
      </w:r>
      <w:r w:rsidR="00C55188" w:rsidRPr="006F3323">
        <w:t>.</w:t>
      </w:r>
    </w:p>
    <w:p w14:paraId="7A46D41A" w14:textId="77777777" w:rsidR="00021D20" w:rsidRPr="006F3323" w:rsidRDefault="00021D20" w:rsidP="00D679CE">
      <w:pPr>
        <w:ind w:right="-31"/>
        <w:jc w:val="both"/>
      </w:pPr>
    </w:p>
    <w:p w14:paraId="0A43DC17" w14:textId="77777777" w:rsidR="00021D20" w:rsidRPr="006F3323" w:rsidRDefault="00C55188" w:rsidP="00D679CE">
      <w:pPr>
        <w:ind w:right="-31"/>
        <w:jc w:val="both"/>
        <w:rPr>
          <w:b/>
        </w:rPr>
      </w:pPr>
      <w:r w:rsidRPr="006F3323">
        <w:rPr>
          <w:b/>
        </w:rPr>
        <w:t>Місцезнаходження виробника та адреса місця провадження його діяльності.</w:t>
      </w:r>
    </w:p>
    <w:p w14:paraId="685F0E88" w14:textId="103C5E1A" w:rsidR="00011F35" w:rsidRPr="006F3323" w:rsidRDefault="00011F35" w:rsidP="002557D7">
      <w:pPr>
        <w:ind w:right="-31"/>
        <w:jc w:val="both"/>
      </w:pPr>
      <w:r w:rsidRPr="006F3323">
        <w:t xml:space="preserve">Дільниця № С-1, </w:t>
      </w:r>
      <w:proofErr w:type="spellStart"/>
      <w:r w:rsidRPr="006F3323">
        <w:t>Мадкайм</w:t>
      </w:r>
      <w:proofErr w:type="spellEnd"/>
      <w:r w:rsidRPr="006F3323">
        <w:t xml:space="preserve"> </w:t>
      </w:r>
      <w:proofErr w:type="spellStart"/>
      <w:r w:rsidRPr="006F3323">
        <w:t>Індастріал</w:t>
      </w:r>
      <w:proofErr w:type="spellEnd"/>
      <w:r w:rsidRPr="006F3323">
        <w:t xml:space="preserve"> </w:t>
      </w:r>
      <w:proofErr w:type="spellStart"/>
      <w:r w:rsidRPr="006F3323">
        <w:t>Естейт</w:t>
      </w:r>
      <w:proofErr w:type="spellEnd"/>
      <w:r w:rsidRPr="006F3323">
        <w:t xml:space="preserve">, </w:t>
      </w:r>
      <w:proofErr w:type="spellStart"/>
      <w:r w:rsidRPr="006F3323">
        <w:t>Мадкайм</w:t>
      </w:r>
      <w:proofErr w:type="spellEnd"/>
      <w:r w:rsidRPr="006F3323">
        <w:t xml:space="preserve">, Пост </w:t>
      </w:r>
      <w:proofErr w:type="spellStart"/>
      <w:r w:rsidRPr="006F3323">
        <w:t>Мард</w:t>
      </w:r>
      <w:r w:rsidR="00C55188" w:rsidRPr="006F3323">
        <w:t>ол</w:t>
      </w:r>
      <w:proofErr w:type="spellEnd"/>
      <w:r w:rsidR="00C55188" w:rsidRPr="006F3323">
        <w:t xml:space="preserve">, </w:t>
      </w:r>
      <w:proofErr w:type="spellStart"/>
      <w:r w:rsidR="00C55188" w:rsidRPr="006F3323">
        <w:t>Понда</w:t>
      </w:r>
      <w:proofErr w:type="spellEnd"/>
      <w:r w:rsidR="00C55188" w:rsidRPr="006F3323">
        <w:t>, Гоа – 403 404, Індія.</w:t>
      </w:r>
    </w:p>
    <w:p w14:paraId="76F2BFAB" w14:textId="77777777" w:rsidR="00DB30AF" w:rsidRPr="006F3323" w:rsidRDefault="00DB30AF" w:rsidP="002557D7">
      <w:pPr>
        <w:ind w:right="-31"/>
        <w:jc w:val="both"/>
      </w:pPr>
    </w:p>
    <w:p w14:paraId="21BD6FBE" w14:textId="77777777" w:rsidR="00011F35" w:rsidRPr="00400830" w:rsidRDefault="00011F35" w:rsidP="00D679CE">
      <w:pPr>
        <w:jc w:val="both"/>
        <w:rPr>
          <w:b/>
        </w:rPr>
      </w:pPr>
      <w:r w:rsidRPr="006F3323">
        <w:rPr>
          <w:b/>
        </w:rPr>
        <w:t>Дата останнього перегляду.</w:t>
      </w:r>
      <w:r w:rsidRPr="00400830">
        <w:rPr>
          <w:b/>
        </w:rPr>
        <w:t xml:space="preserve"> </w:t>
      </w:r>
    </w:p>
    <w:p w14:paraId="7B749AEB" w14:textId="77777777" w:rsidR="00011F35" w:rsidRPr="00400830" w:rsidRDefault="00011F35" w:rsidP="00D679CE">
      <w:pPr>
        <w:jc w:val="both"/>
      </w:pPr>
    </w:p>
    <w:sectPr w:rsidR="00011F35" w:rsidRPr="00400830" w:rsidSect="00707E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3A8C" w14:textId="77777777" w:rsidR="00C04EE2" w:rsidRDefault="00C04EE2" w:rsidP="00695DBD">
      <w:r>
        <w:separator/>
      </w:r>
    </w:p>
  </w:endnote>
  <w:endnote w:type="continuationSeparator" w:id="0">
    <w:p w14:paraId="5279A6CD" w14:textId="77777777" w:rsidR="00C04EE2" w:rsidRDefault="00C04EE2" w:rsidP="00695DBD">
      <w:r>
        <w:continuationSeparator/>
      </w:r>
    </w:p>
  </w:endnote>
  <w:endnote w:type="continuationNotice" w:id="1">
    <w:p w14:paraId="5D4567C0" w14:textId="77777777" w:rsidR="00C04EE2" w:rsidRDefault="00C04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174136"/>
      <w:docPartObj>
        <w:docPartGallery w:val="Page Numbers (Bottom of Page)"/>
        <w:docPartUnique/>
      </w:docPartObj>
    </w:sdtPr>
    <w:sdtEndPr/>
    <w:sdtContent>
      <w:p w14:paraId="68AE0A9B" w14:textId="7A8B2DEA" w:rsidR="002557D7" w:rsidRDefault="002557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316" w:rsidRPr="00017316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886C" w14:textId="77777777" w:rsidR="00C04EE2" w:rsidRDefault="00C04EE2" w:rsidP="00695DBD">
      <w:r>
        <w:separator/>
      </w:r>
    </w:p>
  </w:footnote>
  <w:footnote w:type="continuationSeparator" w:id="0">
    <w:p w14:paraId="77F0B7C7" w14:textId="77777777" w:rsidR="00C04EE2" w:rsidRDefault="00C04EE2" w:rsidP="00695DBD">
      <w:r>
        <w:continuationSeparator/>
      </w:r>
    </w:p>
  </w:footnote>
  <w:footnote w:type="continuationNotice" w:id="1">
    <w:p w14:paraId="3FE995EA" w14:textId="77777777" w:rsidR="00C04EE2" w:rsidRDefault="00C04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D0B"/>
    <w:multiLevelType w:val="hybridMultilevel"/>
    <w:tmpl w:val="9C9471E8"/>
    <w:lvl w:ilvl="0" w:tplc="DB2843F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82"/>
    <w:rsid w:val="00001F10"/>
    <w:rsid w:val="00011F35"/>
    <w:rsid w:val="00017316"/>
    <w:rsid w:val="00021D20"/>
    <w:rsid w:val="0003230A"/>
    <w:rsid w:val="0005776D"/>
    <w:rsid w:val="00066AF8"/>
    <w:rsid w:val="00092C44"/>
    <w:rsid w:val="0009305B"/>
    <w:rsid w:val="00096978"/>
    <w:rsid w:val="000E060C"/>
    <w:rsid w:val="0011144D"/>
    <w:rsid w:val="00114340"/>
    <w:rsid w:val="0014208F"/>
    <w:rsid w:val="00154F7D"/>
    <w:rsid w:val="00156A46"/>
    <w:rsid w:val="00173BD3"/>
    <w:rsid w:val="00174CAB"/>
    <w:rsid w:val="00191E09"/>
    <w:rsid w:val="001B4B80"/>
    <w:rsid w:val="001C2E49"/>
    <w:rsid w:val="001D5F99"/>
    <w:rsid w:val="001E6D6B"/>
    <w:rsid w:val="001F478A"/>
    <w:rsid w:val="002075F9"/>
    <w:rsid w:val="00213A1C"/>
    <w:rsid w:val="00214882"/>
    <w:rsid w:val="002269FC"/>
    <w:rsid w:val="002325D9"/>
    <w:rsid w:val="0024098F"/>
    <w:rsid w:val="00243E59"/>
    <w:rsid w:val="0025067E"/>
    <w:rsid w:val="002557D7"/>
    <w:rsid w:val="00257385"/>
    <w:rsid w:val="002A538C"/>
    <w:rsid w:val="002B0B88"/>
    <w:rsid w:val="002E1865"/>
    <w:rsid w:val="002E198C"/>
    <w:rsid w:val="00314733"/>
    <w:rsid w:val="0032130F"/>
    <w:rsid w:val="003570DA"/>
    <w:rsid w:val="003716F0"/>
    <w:rsid w:val="00377A73"/>
    <w:rsid w:val="00382441"/>
    <w:rsid w:val="00387724"/>
    <w:rsid w:val="003938E7"/>
    <w:rsid w:val="003A703E"/>
    <w:rsid w:val="003B0F14"/>
    <w:rsid w:val="003C20FD"/>
    <w:rsid w:val="003C2E46"/>
    <w:rsid w:val="00400830"/>
    <w:rsid w:val="00402EB2"/>
    <w:rsid w:val="00413E5B"/>
    <w:rsid w:val="00421649"/>
    <w:rsid w:val="00421E44"/>
    <w:rsid w:val="0046203C"/>
    <w:rsid w:val="00471AA9"/>
    <w:rsid w:val="0047266D"/>
    <w:rsid w:val="004844AB"/>
    <w:rsid w:val="0048531C"/>
    <w:rsid w:val="004A0835"/>
    <w:rsid w:val="004A6C0E"/>
    <w:rsid w:val="004B34E8"/>
    <w:rsid w:val="004C5423"/>
    <w:rsid w:val="004C7E48"/>
    <w:rsid w:val="004D5C5A"/>
    <w:rsid w:val="004F4B37"/>
    <w:rsid w:val="004F7153"/>
    <w:rsid w:val="005018EF"/>
    <w:rsid w:val="00506A7D"/>
    <w:rsid w:val="005226AB"/>
    <w:rsid w:val="00537384"/>
    <w:rsid w:val="00542F63"/>
    <w:rsid w:val="00545E38"/>
    <w:rsid w:val="005705E6"/>
    <w:rsid w:val="00584D98"/>
    <w:rsid w:val="00597300"/>
    <w:rsid w:val="005B7CFD"/>
    <w:rsid w:val="005D34FF"/>
    <w:rsid w:val="005D36D3"/>
    <w:rsid w:val="005D56CC"/>
    <w:rsid w:val="005F6F51"/>
    <w:rsid w:val="005F79AA"/>
    <w:rsid w:val="00601F9E"/>
    <w:rsid w:val="0061431E"/>
    <w:rsid w:val="006276F0"/>
    <w:rsid w:val="00632F40"/>
    <w:rsid w:val="0065597A"/>
    <w:rsid w:val="00676D2F"/>
    <w:rsid w:val="00681AC5"/>
    <w:rsid w:val="00695DBD"/>
    <w:rsid w:val="006A2517"/>
    <w:rsid w:val="006B2D81"/>
    <w:rsid w:val="006B599A"/>
    <w:rsid w:val="006C2DCC"/>
    <w:rsid w:val="006D79AA"/>
    <w:rsid w:val="006F01CC"/>
    <w:rsid w:val="006F062F"/>
    <w:rsid w:val="006F3323"/>
    <w:rsid w:val="00700F71"/>
    <w:rsid w:val="00702176"/>
    <w:rsid w:val="0070752A"/>
    <w:rsid w:val="00707E1B"/>
    <w:rsid w:val="00722922"/>
    <w:rsid w:val="00773CA1"/>
    <w:rsid w:val="007748AD"/>
    <w:rsid w:val="007B1A1E"/>
    <w:rsid w:val="007C3326"/>
    <w:rsid w:val="007C37DD"/>
    <w:rsid w:val="007D5624"/>
    <w:rsid w:val="007E1A37"/>
    <w:rsid w:val="007E3098"/>
    <w:rsid w:val="00821CEE"/>
    <w:rsid w:val="0083386B"/>
    <w:rsid w:val="00835855"/>
    <w:rsid w:val="00842AB3"/>
    <w:rsid w:val="00856742"/>
    <w:rsid w:val="00856CD3"/>
    <w:rsid w:val="00882500"/>
    <w:rsid w:val="0089608C"/>
    <w:rsid w:val="008C7C81"/>
    <w:rsid w:val="008D5E4E"/>
    <w:rsid w:val="008E7097"/>
    <w:rsid w:val="00906806"/>
    <w:rsid w:val="00907DA0"/>
    <w:rsid w:val="00916E9A"/>
    <w:rsid w:val="00930CA9"/>
    <w:rsid w:val="0094713A"/>
    <w:rsid w:val="009471AD"/>
    <w:rsid w:val="009519FF"/>
    <w:rsid w:val="009540F7"/>
    <w:rsid w:val="00962BF6"/>
    <w:rsid w:val="009659DC"/>
    <w:rsid w:val="009954D4"/>
    <w:rsid w:val="009A1FE7"/>
    <w:rsid w:val="009A57A4"/>
    <w:rsid w:val="009B7DF5"/>
    <w:rsid w:val="009C5444"/>
    <w:rsid w:val="009D2A49"/>
    <w:rsid w:val="009D6506"/>
    <w:rsid w:val="009F46FB"/>
    <w:rsid w:val="00A21237"/>
    <w:rsid w:val="00A212C5"/>
    <w:rsid w:val="00A24799"/>
    <w:rsid w:val="00A2724A"/>
    <w:rsid w:val="00A30EED"/>
    <w:rsid w:val="00A36E26"/>
    <w:rsid w:val="00A52C5E"/>
    <w:rsid w:val="00AA2016"/>
    <w:rsid w:val="00AA76C4"/>
    <w:rsid w:val="00AB7E34"/>
    <w:rsid w:val="00AD5FF7"/>
    <w:rsid w:val="00B04EEB"/>
    <w:rsid w:val="00B11A53"/>
    <w:rsid w:val="00B13F6D"/>
    <w:rsid w:val="00B23589"/>
    <w:rsid w:val="00B30F17"/>
    <w:rsid w:val="00B41053"/>
    <w:rsid w:val="00B47B71"/>
    <w:rsid w:val="00B51E0B"/>
    <w:rsid w:val="00B64D7E"/>
    <w:rsid w:val="00B93806"/>
    <w:rsid w:val="00B96AB8"/>
    <w:rsid w:val="00BA0F4A"/>
    <w:rsid w:val="00BA25AE"/>
    <w:rsid w:val="00BB100D"/>
    <w:rsid w:val="00BB1427"/>
    <w:rsid w:val="00BB1682"/>
    <w:rsid w:val="00BB6302"/>
    <w:rsid w:val="00BB6DEA"/>
    <w:rsid w:val="00BC0D6E"/>
    <w:rsid w:val="00BF0BE9"/>
    <w:rsid w:val="00BF1AFA"/>
    <w:rsid w:val="00BF6244"/>
    <w:rsid w:val="00C04EE2"/>
    <w:rsid w:val="00C04EEC"/>
    <w:rsid w:val="00C11ACD"/>
    <w:rsid w:val="00C3599E"/>
    <w:rsid w:val="00C55188"/>
    <w:rsid w:val="00C935DA"/>
    <w:rsid w:val="00C974DA"/>
    <w:rsid w:val="00CA6AD5"/>
    <w:rsid w:val="00CB1693"/>
    <w:rsid w:val="00CB5E3A"/>
    <w:rsid w:val="00CC0F58"/>
    <w:rsid w:val="00CD1D49"/>
    <w:rsid w:val="00CD445C"/>
    <w:rsid w:val="00CE22CE"/>
    <w:rsid w:val="00CF278C"/>
    <w:rsid w:val="00CF62F7"/>
    <w:rsid w:val="00D32102"/>
    <w:rsid w:val="00D374BF"/>
    <w:rsid w:val="00D679CE"/>
    <w:rsid w:val="00D70006"/>
    <w:rsid w:val="00D73653"/>
    <w:rsid w:val="00D750D1"/>
    <w:rsid w:val="00D93C7A"/>
    <w:rsid w:val="00DA49F2"/>
    <w:rsid w:val="00DB30AF"/>
    <w:rsid w:val="00DB4D03"/>
    <w:rsid w:val="00DC4D30"/>
    <w:rsid w:val="00DD01CE"/>
    <w:rsid w:val="00DD0B88"/>
    <w:rsid w:val="00DD3085"/>
    <w:rsid w:val="00DD39CA"/>
    <w:rsid w:val="00DD39DE"/>
    <w:rsid w:val="00DE20D5"/>
    <w:rsid w:val="00DE48F7"/>
    <w:rsid w:val="00DF6394"/>
    <w:rsid w:val="00E1527A"/>
    <w:rsid w:val="00E179FF"/>
    <w:rsid w:val="00E42031"/>
    <w:rsid w:val="00E44D41"/>
    <w:rsid w:val="00E5750E"/>
    <w:rsid w:val="00E67E00"/>
    <w:rsid w:val="00EA1C39"/>
    <w:rsid w:val="00EA5697"/>
    <w:rsid w:val="00EB1E8D"/>
    <w:rsid w:val="00EC07FB"/>
    <w:rsid w:val="00ED5C80"/>
    <w:rsid w:val="00EE332C"/>
    <w:rsid w:val="00EF39CE"/>
    <w:rsid w:val="00F03547"/>
    <w:rsid w:val="00F1324A"/>
    <w:rsid w:val="00F14DB2"/>
    <w:rsid w:val="00F235E8"/>
    <w:rsid w:val="00F23AF3"/>
    <w:rsid w:val="00F3069C"/>
    <w:rsid w:val="00F31B0C"/>
    <w:rsid w:val="00F36D5F"/>
    <w:rsid w:val="00F550B7"/>
    <w:rsid w:val="00F61663"/>
    <w:rsid w:val="00F659CF"/>
    <w:rsid w:val="00F76497"/>
    <w:rsid w:val="00F859E0"/>
    <w:rsid w:val="00F90EAA"/>
    <w:rsid w:val="00FB2F7C"/>
    <w:rsid w:val="00FC11CE"/>
    <w:rsid w:val="00FD06C6"/>
    <w:rsid w:val="00FE010D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96570"/>
  <w15:chartTrackingRefBased/>
  <w15:docId w15:val="{B3CB65BE-83E5-4A96-8EAF-6B060391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B96AB8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Cs/>
      <w:szCs w:val="20"/>
      <w:u w:val="single"/>
      <w:lang w:val="en-US" w:eastAsia="en-US"/>
    </w:rPr>
  </w:style>
  <w:style w:type="paragraph" w:styleId="6">
    <w:name w:val="heading 6"/>
    <w:basedOn w:val="a"/>
    <w:next w:val="a"/>
    <w:qFormat/>
    <w:rsid w:val="00B96AB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BB1682"/>
    <w:rPr>
      <w:rFonts w:ascii="Consolas" w:hAnsi="Consolas"/>
      <w:lang w:bidi="ar-SA"/>
    </w:rPr>
  </w:style>
  <w:style w:type="paragraph" w:styleId="HTML0">
    <w:name w:val="HTML Preformatted"/>
    <w:basedOn w:val="a"/>
    <w:link w:val="HTML"/>
    <w:rsid w:val="00BB1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a3">
    <w:name w:val="Основной текст Знак"/>
    <w:link w:val="a4"/>
    <w:locked/>
    <w:rsid w:val="00BB1682"/>
    <w:rPr>
      <w:sz w:val="28"/>
      <w:lang w:val="uk-UA" w:eastAsia="ru-RU" w:bidi="ar-SA"/>
    </w:rPr>
  </w:style>
  <w:style w:type="paragraph" w:styleId="a4">
    <w:name w:val="Body Text"/>
    <w:basedOn w:val="a"/>
    <w:link w:val="a3"/>
    <w:rsid w:val="00BB1682"/>
    <w:rPr>
      <w:sz w:val="28"/>
      <w:szCs w:val="20"/>
    </w:rPr>
  </w:style>
  <w:style w:type="character" w:customStyle="1" w:styleId="a5">
    <w:name w:val="Основной текст с отступом Знак"/>
    <w:link w:val="a6"/>
    <w:locked/>
    <w:rsid w:val="00BB1682"/>
    <w:rPr>
      <w:rFonts w:eastAsia="MS Mincho"/>
      <w:lang w:val="en-US" w:eastAsia="en-US" w:bidi="ar-SA"/>
    </w:rPr>
  </w:style>
  <w:style w:type="paragraph" w:styleId="a6">
    <w:name w:val="Body Text Indent"/>
    <w:basedOn w:val="a"/>
    <w:link w:val="a5"/>
    <w:rsid w:val="00BB1682"/>
    <w:pPr>
      <w:spacing w:after="120"/>
      <w:ind w:left="283"/>
    </w:pPr>
    <w:rPr>
      <w:rFonts w:eastAsia="MS Mincho"/>
      <w:sz w:val="20"/>
      <w:szCs w:val="20"/>
      <w:lang w:val="en-US" w:eastAsia="en-US"/>
    </w:rPr>
  </w:style>
  <w:style w:type="paragraph" w:customStyle="1" w:styleId="a7">
    <w:name w:val="Название"/>
    <w:basedOn w:val="a"/>
    <w:qFormat/>
    <w:rsid w:val="00BB6302"/>
    <w:pPr>
      <w:widowControl w:val="0"/>
      <w:shd w:val="clear" w:color="FFFFFF" w:fill="FFFFFF"/>
      <w:suppressAutoHyphens/>
      <w:autoSpaceDE w:val="0"/>
      <w:spacing w:line="269" w:lineRule="exact"/>
      <w:ind w:left="4678"/>
      <w:jc w:val="center"/>
    </w:pPr>
    <w:rPr>
      <w:b/>
      <w:color w:val="000000"/>
      <w:spacing w:val="-3"/>
      <w:szCs w:val="20"/>
    </w:rPr>
  </w:style>
  <w:style w:type="character" w:customStyle="1" w:styleId="apple-style-span">
    <w:name w:val="apple-style-span"/>
    <w:basedOn w:val="a0"/>
    <w:rsid w:val="006F01CC"/>
  </w:style>
  <w:style w:type="paragraph" w:customStyle="1" w:styleId="FR3">
    <w:name w:val="FR3"/>
    <w:rsid w:val="009659DC"/>
    <w:pPr>
      <w:widowControl w:val="0"/>
    </w:pPr>
    <w:rPr>
      <w:rFonts w:ascii="Courier New" w:hAnsi="Courier New"/>
      <w:sz w:val="24"/>
      <w:lang w:val="uk-UA"/>
    </w:rPr>
  </w:style>
  <w:style w:type="paragraph" w:styleId="a8">
    <w:name w:val="header"/>
    <w:basedOn w:val="a"/>
    <w:link w:val="a9"/>
    <w:rsid w:val="00695DB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rsid w:val="00695DBD"/>
    <w:rPr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rsid w:val="00695DB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95DBD"/>
    <w:rPr>
      <w:sz w:val="24"/>
      <w:szCs w:val="24"/>
      <w:lang w:val="uk-UA" w:eastAsia="ru-RU"/>
    </w:rPr>
  </w:style>
  <w:style w:type="paragraph" w:customStyle="1" w:styleId="paragraph">
    <w:name w:val="paragraph"/>
    <w:basedOn w:val="a"/>
    <w:rsid w:val="0065597A"/>
    <w:pPr>
      <w:tabs>
        <w:tab w:val="left" w:pos="1702"/>
      </w:tabs>
      <w:spacing w:before="120"/>
      <w:jc w:val="both"/>
    </w:pPr>
    <w:rPr>
      <w:lang w:val="en-US" w:eastAsia="en-US"/>
    </w:rPr>
  </w:style>
  <w:style w:type="table" w:styleId="ac">
    <w:name w:val="Table Grid"/>
    <w:basedOn w:val="a1"/>
    <w:uiPriority w:val="39"/>
    <w:rsid w:val="00CB5E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B5E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F14D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14DB2"/>
    <w:rPr>
      <w:rFonts w:ascii="Segoe UI" w:hAnsi="Segoe UI" w:cs="Segoe UI"/>
      <w:sz w:val="18"/>
      <w:szCs w:val="18"/>
      <w:lang w:val="uk-UA"/>
    </w:rPr>
  </w:style>
  <w:style w:type="paragraph" w:styleId="af0">
    <w:name w:val="Normal (Web)"/>
    <w:aliases w:val="Normal (Web) Char,webb,Обычный (Web),Normal (Web)1"/>
    <w:basedOn w:val="a"/>
    <w:link w:val="af1"/>
    <w:qFormat/>
    <w:rsid w:val="00D32102"/>
    <w:pPr>
      <w:spacing w:before="100" w:beforeAutospacing="1" w:after="100" w:afterAutospacing="1"/>
    </w:pPr>
  </w:style>
  <w:style w:type="character" w:customStyle="1" w:styleId="af1">
    <w:name w:val="Обычный (Интернет) Знак"/>
    <w:aliases w:val="Normal (Web) Char Знак,webb Знак,Обычный (Web) Знак,Normal (Web)1 Знак"/>
    <w:link w:val="af0"/>
    <w:locked/>
    <w:rsid w:val="00D32102"/>
    <w:rPr>
      <w:sz w:val="24"/>
      <w:szCs w:val="24"/>
      <w:lang w:val="uk-UA"/>
    </w:rPr>
  </w:style>
  <w:style w:type="paragraph" w:customStyle="1" w:styleId="xfmc1">
    <w:name w:val="xfmc1"/>
    <w:basedOn w:val="a"/>
    <w:rsid w:val="00D3210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1120-802E-4903-8D6B-3B3F9485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1451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ІНСТРУКЦІЯ</vt:lpstr>
    </vt:vector>
  </TitlesOfParts>
  <Company>UDFC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ІНСТРУКЦІЯ</dc:title>
  <dc:subject/>
  <dc:creator>julia</dc:creator>
  <cp:keywords/>
  <cp:lastModifiedBy>Prokopenko Irina</cp:lastModifiedBy>
  <cp:revision>2</cp:revision>
  <cp:lastPrinted>2012-06-26T09:58:00Z</cp:lastPrinted>
  <dcterms:created xsi:type="dcterms:W3CDTF">2022-01-13T07:47:00Z</dcterms:created>
  <dcterms:modified xsi:type="dcterms:W3CDTF">2022-01-13T07:47:00Z</dcterms:modified>
</cp:coreProperties>
</file>